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rFonts w:ascii="Arial" w:hAnsi="Arial"/>
          <w:b/>
          <w:color w:val="2E6B57"/>
          <w:sz w:val="64"/>
        </w:rPr>
        <w:t>NULA</w:t>
      </w:r>
    </w:p>
    <w:p>
      <w:pPr>
        <w:jc w:val="center"/>
      </w:pPr>
      <w:r>
        <w:rPr>
          <w:b/>
          <w:color w:val="173C32"/>
          <w:sz w:val="44"/>
        </w:rPr>
        <w:t>Carbon Calculation Methodology Statement</w:t>
      </w:r>
    </w:p>
    <w:p>
      <w:pPr>
        <w:jc w:val="center"/>
      </w:pPr>
      <w:r>
        <w:rPr>
          <w:color w:val="5F6B66"/>
          <w:sz w:val="22"/>
        </w:rPr>
        <w:t>Scientific and technical basis for Nula consumer carbon-footprint estimates</w:t>
      </w:r>
    </w:p>
    <w:p>
      <w:pPr>
        <w:spacing w:before="500"/>
        <w:jc w:val="center"/>
      </w:pPr>
      <w:r>
        <w:t>Version 1.1 — Revised Draft for Independent Review</w:t>
        <w:br/>
        <w:t>23 August 2026</w:t>
      </w:r>
    </w:p>
    <w:p>
      <w:pPr>
        <w:spacing w:before="600"/>
        <w:jc w:val="center"/>
      </w:pPr>
      <w:r>
        <w:t>Scientific status: scientifically grounded methodology; revised following technical/LCA review; not independently validated, assured or certified.</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40"/>
        <w:gridCol w:w="5040"/>
      </w:tblGrid>
      <w:tr>
        <w:tc>
          <w:tcPr>
            <w:tcW w:type="dxa" w:w="5040"/>
            <w:shd w:fill="EAF4EF"/>
            <w:tcMar>
              <w:top w:w="80" w:type="dxa"/>
              <w:start w:w="100" w:type="dxa"/>
              <w:bottom w:w="80" w:type="dxa"/>
              <w:end w:w="100" w:type="dxa"/>
            </w:tcMar>
          </w:tcPr>
          <w:p>
            <w:r>
              <w:t>Document owner</w:t>
            </w:r>
          </w:p>
        </w:tc>
        <w:tc>
          <w:tcPr>
            <w:tcW w:type="dxa" w:w="5040"/>
            <w:tcMar>
              <w:top w:w="80" w:type="dxa"/>
              <w:start w:w="100" w:type="dxa"/>
              <w:bottom w:w="80" w:type="dxa"/>
              <w:end w:w="100" w:type="dxa"/>
            </w:tcMar>
          </w:tcPr>
          <w:p>
            <w:r>
              <w:t>Nula</w:t>
            </w:r>
          </w:p>
        </w:tc>
      </w:tr>
      <w:tr>
        <w:tc>
          <w:tcPr>
            <w:tcW w:type="dxa" w:w="5040"/>
            <w:shd w:fill="EAF4EF"/>
            <w:tcMar>
              <w:top w:w="80" w:type="dxa"/>
              <w:start w:w="100" w:type="dxa"/>
              <w:bottom w:w="80" w:type="dxa"/>
              <w:end w:w="100" w:type="dxa"/>
            </w:tcMar>
          </w:tcPr>
          <w:p>
            <w:r>
              <w:t>Version</w:t>
            </w:r>
          </w:p>
        </w:tc>
        <w:tc>
          <w:tcPr>
            <w:tcW w:type="dxa" w:w="5040"/>
            <w:tcMar>
              <w:top w:w="80" w:type="dxa"/>
              <w:start w:w="100" w:type="dxa"/>
              <w:bottom w:w="80" w:type="dxa"/>
              <w:end w:w="100" w:type="dxa"/>
            </w:tcMar>
          </w:tcPr>
          <w:p>
            <w:r>
              <w:t>1.1</w:t>
            </w:r>
          </w:p>
        </w:tc>
      </w:tr>
      <w:tr>
        <w:tc>
          <w:tcPr>
            <w:tcW w:type="dxa" w:w="5040"/>
            <w:shd w:fill="EAF4EF"/>
            <w:tcMar>
              <w:top w:w="80" w:type="dxa"/>
              <w:start w:w="100" w:type="dxa"/>
              <w:bottom w:w="80" w:type="dxa"/>
              <w:end w:w="100" w:type="dxa"/>
            </w:tcMar>
          </w:tcPr>
          <w:p>
            <w:r>
              <w:t>Status</w:t>
            </w:r>
          </w:p>
        </w:tc>
        <w:tc>
          <w:tcPr>
            <w:tcW w:type="dxa" w:w="5040"/>
            <w:tcMar>
              <w:top w:w="80" w:type="dxa"/>
              <w:start w:w="100" w:type="dxa"/>
              <w:bottom w:w="80" w:type="dxa"/>
              <w:end w:w="100" w:type="dxa"/>
            </w:tcMar>
          </w:tcPr>
          <w:p>
            <w:r>
              <w:t>Revised draft for independent technical/LCA review</w:t>
            </w:r>
          </w:p>
        </w:tc>
      </w:tr>
      <w:tr>
        <w:tc>
          <w:tcPr>
            <w:tcW w:type="dxa" w:w="5040"/>
            <w:shd w:fill="EAF4EF"/>
            <w:tcMar>
              <w:top w:w="80" w:type="dxa"/>
              <w:start w:w="100" w:type="dxa"/>
              <w:bottom w:w="80" w:type="dxa"/>
              <w:end w:w="100" w:type="dxa"/>
            </w:tcMar>
          </w:tcPr>
          <w:p>
            <w:r>
              <w:t>Effective date</w:t>
            </w:r>
          </w:p>
        </w:tc>
        <w:tc>
          <w:tcPr>
            <w:tcW w:type="dxa" w:w="5040"/>
            <w:tcMar>
              <w:top w:w="80" w:type="dxa"/>
              <w:start w:w="100" w:type="dxa"/>
              <w:bottom w:w="80" w:type="dxa"/>
              <w:end w:w="100" w:type="dxa"/>
            </w:tcMar>
          </w:tcPr>
          <w:p>
            <w:r>
              <w:t>23 August 2026</w:t>
            </w:r>
          </w:p>
        </w:tc>
      </w:tr>
      <w:tr>
        <w:tc>
          <w:tcPr>
            <w:tcW w:type="dxa" w:w="5040"/>
            <w:shd w:fill="EAF4EF"/>
            <w:tcMar>
              <w:top w:w="80" w:type="dxa"/>
              <w:start w:w="100" w:type="dxa"/>
              <w:bottom w:w="80" w:type="dxa"/>
              <w:end w:w="100" w:type="dxa"/>
            </w:tcMar>
          </w:tcPr>
          <w:p>
            <w:r>
              <w:t>Review cycle</w:t>
            </w:r>
          </w:p>
        </w:tc>
        <w:tc>
          <w:tcPr>
            <w:tcW w:type="dxa" w:w="5040"/>
            <w:tcMar>
              <w:top w:w="80" w:type="dxa"/>
              <w:start w:w="100" w:type="dxa"/>
              <w:bottom w:w="80" w:type="dxa"/>
              <w:end w:w="100" w:type="dxa"/>
            </w:tcMar>
          </w:tcPr>
          <w:p>
            <w:r>
              <w:t>At least annually; whenever core factors/methods materially change; and when a fallback intensity reaches its defined re-derivation limit</w:t>
            </w:r>
          </w:p>
        </w:tc>
      </w:tr>
    </w:tbl>
    <w:p>
      <w:r>
        <w:rPr>
          <w:b/>
        </w:rPr>
        <w:t xml:space="preserve">Important limitation. </w:t>
      </w:r>
      <w:r>
        <w:t>This document defines the intended calculation and governance methodology for Nula. It does not constitute assurance, certification, a regulatory inventory, or a claim that every current production factor has been independently validated. Results must be presented as estimates unless a separately verified calculation supports a stronger claim.</w:t>
      </w:r>
    </w:p>
    <w:p>
      <w:pPr>
        <w:pStyle w:val="Heading1"/>
      </w:pPr>
      <w:r>
        <w:t>1. Purpose and Intended Use</w:t>
      </w:r>
    </w:p>
    <w:p>
      <w:r>
        <w:t>This statement defines the scientific, calculation, data-quality and governance principles that Nula intends to use when estimating greenhouse-gas emissions associated with household consumption. It is designed to make each estimate explainable, traceable and reproducible, while avoiding false precision when the available input data are limited.</w:t>
      </w:r>
    </w:p>
    <w:p>
      <w:pPr>
        <w:pStyle w:val="ListBullet"/>
      </w:pPr>
      <w:r>
        <w:t>Primary output: estimated greenhouse-gas emissions expressed as kilograms of CO₂-equivalent (kg CO₂e).</w:t>
      </w:r>
    </w:p>
    <w:p>
      <w:pPr>
        <w:pStyle w:val="ListBullet"/>
      </w:pPr>
      <w:r>
        <w:t>Primary context: household consumption in the Netherlands, with Netherlands-specific data preferred where available.</w:t>
      </w:r>
    </w:p>
    <w:p>
      <w:pPr>
        <w:pStyle w:val="ListBullet"/>
      </w:pPr>
      <w:r>
        <w:t>Primary input: transaction data, supplemented where possible by physical activity data such as litres, kilometres, passenger-kilometres, kWh, Nm³ or product quantities.</w:t>
      </w:r>
    </w:p>
    <w:p>
      <w:pPr>
        <w:pStyle w:val="ListBullet"/>
      </w:pPr>
      <w:r>
        <w:t>Primary principle: use the most specific credible data available; do not infer high-confidence physical activity merely from merchant identity or spend.</w:t>
      </w:r>
    </w:p>
    <w:p>
      <w:pPr>
        <w:pStyle w:val="ListBullet"/>
      </w:pPr>
      <w:r>
        <w:t>Realistic operating mode for the transaction-led MVP: bank/card transactions normally provide merchant, date and expenditure, but not litres, kWh, passenger-kilometres or item quantities. Accordingly, many production calculations are expected to use Grade C, D or E spend-based methods unless the transaction is enriched with reliable physical or item-level data. Grade A/B reference cases demonstrate the preferred scientific path when such evidence exists; they must not be interpreted as representative of the quality of all transaction-only estimates.</w:t>
      </w:r>
    </w:p>
    <w:p>
      <w:pPr>
        <w:pStyle w:val="ListBullet"/>
      </w:pPr>
      <w:r>
        <w:t>Nula will not publish an assumed percentage of A/B versus C/D/E calculations until this distribution has been measured on a representative Dutch transaction sample. Method-grade distribution and user-facing confidence calibration are validation requirements, not marketing assumptions.</w:t>
      </w:r>
    </w:p>
    <w:p>
      <w:pPr>
        <w:pStyle w:val="Heading1"/>
      </w:pPr>
      <w:r>
        <w:t>2. Scientific Foundation</w:t>
      </w:r>
    </w:p>
    <w:p>
      <w:r>
        <w:t>Nula uses a hybrid framework combining activity-based emission factors, product-level life-cycle data where available, and expenditure-based estimates when only financial data are available. The expenditure-based branch is grounded in established environmentally extended input-output (EEIO/MRIO) logic. CBS’s 2026 household-footprint study calculates indirect greenhouse-gas emission coefficients per euro of household consumption using the SAMCA method and PBL-FIGARO MRIO data, converts basic prices to consumer purchase prices, and links the resulting coefficients to the CBS 2020 Budget Survey. Direct household emissions are treated separately. [1][2]</w:t>
      </w:r>
    </w:p>
    <w:p>
      <w:r>
        <w:t>The GHG Protocol recognises multiple calculation methods, including spend-based methods using EEIO emission factors, and stresses selection of the highest-quality data appropriate to the objective, along with relevance, completeness, consistency, transparency and accuracy. [3][4]</w:t>
      </w:r>
    </w:p>
    <w:p>
      <w:pPr>
        <w:pStyle w:val="Heading1"/>
      </w:pPr>
      <w:r>
        <w:t>3. System Boundary and Output Definition</w:t>
      </w:r>
    </w:p>
    <w:p>
      <w:r>
        <w:t>Nula estimates a consumption-based greenhouse-gas footprint. Depending on the data source, the boundary may include direct use-phase emissions, upstream fuel/energy chain emissions, and/or wider supply-chain emissions. The boundary must be stored with each factor and disclosed when a user requests calculation details.</w:t>
      </w:r>
    </w:p>
    <w:p>
      <w:pPr>
        <w:pStyle w:val="ListBullet"/>
      </w:pPr>
      <w:r>
        <w:t>WTW (well-to-wheel): TTW/use emissions plus upstream WTT chain emissions for transport fuels and mobility.</w:t>
      </w:r>
    </w:p>
    <w:p>
      <w:pPr>
        <w:pStyle w:val="ListBullet"/>
      </w:pPr>
      <w:r>
        <w:t>Product/supply-chain footprint: lifecycle or cradle-to-gate/retail/consumption boundary as specified by the source dataset.</w:t>
      </w:r>
    </w:p>
    <w:p>
      <w:pPr>
        <w:pStyle w:val="ListBullet"/>
      </w:pPr>
      <w:r>
        <w:t>Spend-based EEIO/MRIO: upstream supply-chain emissions associated with household consumption expenditure, according to the scope of the underlying model.</w:t>
      </w:r>
    </w:p>
    <w:p>
      <w:pPr>
        <w:pStyle w:val="ListBullet"/>
      </w:pPr>
      <w:r>
        <w:t>Infrastructure emissions are included only when explicitly included in the factor definition; they must not be silently added.</w:t>
      </w:r>
    </w:p>
    <w:p>
      <w:pPr>
        <w:pStyle w:val="Heading1"/>
      </w:pPr>
      <w:r>
        <w:t>4. Method Selection Hierarchy</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2E6B57"/>
            <w:tcMar>
              <w:top w:w="80" w:type="dxa"/>
              <w:start w:w="100" w:type="dxa"/>
              <w:bottom w:w="80" w:type="dxa"/>
              <w:end w:w="100" w:type="dxa"/>
            </w:tcMar>
            <w:vAlign w:val="center"/>
          </w:tcPr>
          <w:p>
            <w:r>
              <w:rPr>
                <w:b/>
                <w:color w:val="FFFFFF"/>
                <w:sz w:val="17"/>
              </w:rPr>
              <w:t>Grade</w:t>
            </w:r>
          </w:p>
        </w:tc>
        <w:tc>
          <w:tcPr>
            <w:tcW w:type="dxa" w:w="2520"/>
            <w:shd w:fill="2E6B57"/>
            <w:tcMar>
              <w:top w:w="80" w:type="dxa"/>
              <w:start w:w="100" w:type="dxa"/>
              <w:bottom w:w="80" w:type="dxa"/>
              <w:end w:w="100" w:type="dxa"/>
            </w:tcMar>
            <w:vAlign w:val="center"/>
          </w:tcPr>
          <w:p>
            <w:r>
              <w:rPr>
                <w:b/>
                <w:color w:val="FFFFFF"/>
                <w:sz w:val="17"/>
              </w:rPr>
              <w:t>Method</w:t>
            </w:r>
          </w:p>
        </w:tc>
        <w:tc>
          <w:tcPr>
            <w:tcW w:type="dxa" w:w="2520"/>
            <w:shd w:fill="2E6B57"/>
            <w:tcMar>
              <w:top w:w="80" w:type="dxa"/>
              <w:start w:w="100" w:type="dxa"/>
              <w:bottom w:w="80" w:type="dxa"/>
              <w:end w:w="100" w:type="dxa"/>
            </w:tcMar>
            <w:vAlign w:val="center"/>
          </w:tcPr>
          <w:p>
            <w:r>
              <w:rPr>
                <w:b/>
                <w:color w:val="FFFFFF"/>
                <w:sz w:val="17"/>
              </w:rPr>
              <w:t>Minimum evidence</w:t>
            </w:r>
          </w:p>
        </w:tc>
        <w:tc>
          <w:tcPr>
            <w:tcW w:type="dxa" w:w="2520"/>
            <w:shd w:fill="2E6B57"/>
            <w:tcMar>
              <w:top w:w="80" w:type="dxa"/>
              <w:start w:w="100" w:type="dxa"/>
              <w:bottom w:w="80" w:type="dxa"/>
              <w:end w:w="100" w:type="dxa"/>
            </w:tcMar>
            <w:vAlign w:val="center"/>
          </w:tcPr>
          <w:p>
            <w:r>
              <w:rPr>
                <w:b/>
                <w:color w:val="FFFFFF"/>
                <w:sz w:val="17"/>
              </w:rPr>
              <w:t>Default confidence</w:t>
            </w:r>
          </w:p>
        </w:tc>
      </w:tr>
      <w:tr>
        <w:tc>
          <w:tcPr>
            <w:tcW w:type="dxa" w:w="2520"/>
            <w:tcMar>
              <w:top w:w="80" w:type="dxa"/>
              <w:start w:w="100" w:type="dxa"/>
              <w:bottom w:w="80" w:type="dxa"/>
              <w:end w:w="100" w:type="dxa"/>
            </w:tcMar>
            <w:vAlign w:val="top"/>
          </w:tcPr>
          <w:p>
            <w:r>
              <w:rPr>
                <w:sz w:val="16"/>
              </w:rPr>
              <w:t>A</w:t>
            </w:r>
          </w:p>
        </w:tc>
        <w:tc>
          <w:tcPr>
            <w:tcW w:type="dxa" w:w="2520"/>
            <w:tcMar>
              <w:top w:w="80" w:type="dxa"/>
              <w:start w:w="100" w:type="dxa"/>
              <w:bottom w:w="80" w:type="dxa"/>
              <w:end w:w="100" w:type="dxa"/>
            </w:tcMar>
            <w:vAlign w:val="top"/>
          </w:tcPr>
          <w:p>
            <w:r>
              <w:rPr>
                <w:sz w:val="16"/>
              </w:rPr>
              <w:t>Authoritative activity-based</w:t>
            </w:r>
          </w:p>
        </w:tc>
        <w:tc>
          <w:tcPr>
            <w:tcW w:type="dxa" w:w="2520"/>
            <w:tcMar>
              <w:top w:w="80" w:type="dxa"/>
              <w:start w:w="100" w:type="dxa"/>
              <w:bottom w:w="80" w:type="dxa"/>
              <w:end w:w="100" w:type="dxa"/>
            </w:tcMar>
            <w:vAlign w:val="top"/>
          </w:tcPr>
          <w:p>
            <w:r>
              <w:rPr>
                <w:sz w:val="16"/>
              </w:rPr>
              <w:t>Physical quantity + geographically relevant authoritative factor</w:t>
            </w:r>
          </w:p>
        </w:tc>
        <w:tc>
          <w:tcPr>
            <w:tcW w:type="dxa" w:w="2520"/>
            <w:tcMar>
              <w:top w:w="80" w:type="dxa"/>
              <w:start w:w="100" w:type="dxa"/>
              <w:bottom w:w="80" w:type="dxa"/>
              <w:end w:w="100" w:type="dxa"/>
            </w:tcMar>
            <w:vAlign w:val="top"/>
          </w:tcPr>
          <w:p>
            <w:r>
              <w:rPr>
                <w:sz w:val="16"/>
              </w:rPr>
              <w:t>High</w:t>
            </w:r>
          </w:p>
        </w:tc>
      </w:tr>
      <w:tr>
        <w:tc>
          <w:tcPr>
            <w:tcW w:type="dxa" w:w="2520"/>
            <w:tcMar>
              <w:top w:w="80" w:type="dxa"/>
              <w:start w:w="100" w:type="dxa"/>
              <w:bottom w:w="80" w:type="dxa"/>
              <w:end w:w="100" w:type="dxa"/>
            </w:tcMar>
            <w:vAlign w:val="top"/>
          </w:tcPr>
          <w:p>
            <w:r>
              <w:rPr>
                <w:sz w:val="16"/>
              </w:rPr>
              <w:t>B</w:t>
            </w:r>
          </w:p>
        </w:tc>
        <w:tc>
          <w:tcPr>
            <w:tcW w:type="dxa" w:w="2520"/>
            <w:tcMar>
              <w:top w:w="80" w:type="dxa"/>
              <w:start w:w="100" w:type="dxa"/>
              <w:bottom w:w="80" w:type="dxa"/>
              <w:end w:w="100" w:type="dxa"/>
            </w:tcMar>
            <w:vAlign w:val="top"/>
          </w:tcPr>
          <w:p>
            <w:r>
              <w:rPr>
                <w:sz w:val="16"/>
              </w:rPr>
              <w:t>Product/LCA-based</w:t>
            </w:r>
          </w:p>
        </w:tc>
        <w:tc>
          <w:tcPr>
            <w:tcW w:type="dxa" w:w="2520"/>
            <w:tcMar>
              <w:top w:w="80" w:type="dxa"/>
              <w:start w:w="100" w:type="dxa"/>
              <w:bottom w:w="80" w:type="dxa"/>
              <w:end w:w="100" w:type="dxa"/>
            </w:tcMar>
            <w:vAlign w:val="top"/>
          </w:tcPr>
          <w:p>
            <w:r>
              <w:rPr>
                <w:sz w:val="16"/>
              </w:rPr>
              <w:t>Product or item identified + credible lifecycle dataset/method</w:t>
            </w:r>
          </w:p>
        </w:tc>
        <w:tc>
          <w:tcPr>
            <w:tcW w:type="dxa" w:w="2520"/>
            <w:tcMar>
              <w:top w:w="80" w:type="dxa"/>
              <w:start w:w="100" w:type="dxa"/>
              <w:bottom w:w="80" w:type="dxa"/>
              <w:end w:w="100" w:type="dxa"/>
            </w:tcMar>
            <w:vAlign w:val="top"/>
          </w:tcPr>
          <w:p>
            <w:r>
              <w:rPr>
                <w:sz w:val="16"/>
              </w:rPr>
              <w:t>Medium-high</w:t>
            </w:r>
          </w:p>
        </w:tc>
      </w:tr>
      <w:tr>
        <w:tc>
          <w:tcPr>
            <w:tcW w:type="dxa" w:w="2520"/>
            <w:tcMar>
              <w:top w:w="80" w:type="dxa"/>
              <w:start w:w="100" w:type="dxa"/>
              <w:bottom w:w="80" w:type="dxa"/>
              <w:end w:w="100" w:type="dxa"/>
            </w:tcMar>
            <w:vAlign w:val="top"/>
          </w:tcPr>
          <w:p>
            <w:r>
              <w:rPr>
                <w:sz w:val="16"/>
              </w:rPr>
              <w:t>C</w:t>
            </w:r>
          </w:p>
        </w:tc>
        <w:tc>
          <w:tcPr>
            <w:tcW w:type="dxa" w:w="2520"/>
            <w:tcMar>
              <w:top w:w="80" w:type="dxa"/>
              <w:start w:w="100" w:type="dxa"/>
              <w:bottom w:w="80" w:type="dxa"/>
              <w:end w:w="100" w:type="dxa"/>
            </w:tcMar>
            <w:vAlign w:val="top"/>
          </w:tcPr>
          <w:p>
            <w:r>
              <w:rPr>
                <w:sz w:val="16"/>
              </w:rPr>
              <w:t>Detailed spend-based</w:t>
            </w:r>
          </w:p>
        </w:tc>
        <w:tc>
          <w:tcPr>
            <w:tcW w:type="dxa" w:w="2520"/>
            <w:tcMar>
              <w:top w:w="80" w:type="dxa"/>
              <w:start w:w="100" w:type="dxa"/>
              <w:bottom w:w="80" w:type="dxa"/>
              <w:end w:w="100" w:type="dxa"/>
            </w:tcMar>
            <w:vAlign w:val="top"/>
          </w:tcPr>
          <w:p>
            <w:r>
              <w:rPr>
                <w:sz w:val="16"/>
              </w:rPr>
              <w:t>Detailed Dutch/EU COICOP/EEIO factor + valid price-year adjustment</w:t>
            </w:r>
          </w:p>
        </w:tc>
        <w:tc>
          <w:tcPr>
            <w:tcW w:type="dxa" w:w="2520"/>
            <w:tcMar>
              <w:top w:w="80" w:type="dxa"/>
              <w:start w:w="100" w:type="dxa"/>
              <w:bottom w:w="80" w:type="dxa"/>
              <w:end w:w="100" w:type="dxa"/>
            </w:tcMar>
            <w:vAlign w:val="top"/>
          </w:tcPr>
          <w:p>
            <w:r>
              <w:rPr>
                <w:sz w:val="16"/>
              </w:rPr>
              <w:t>Medium</w:t>
            </w:r>
          </w:p>
        </w:tc>
      </w:tr>
      <w:tr>
        <w:tc>
          <w:tcPr>
            <w:tcW w:type="dxa" w:w="2520"/>
            <w:tcMar>
              <w:top w:w="80" w:type="dxa"/>
              <w:start w:w="100" w:type="dxa"/>
              <w:bottom w:w="80" w:type="dxa"/>
              <w:end w:w="100" w:type="dxa"/>
            </w:tcMar>
            <w:vAlign w:val="top"/>
          </w:tcPr>
          <w:p>
            <w:r>
              <w:rPr>
                <w:sz w:val="16"/>
              </w:rPr>
              <w:t>D</w:t>
            </w:r>
          </w:p>
        </w:tc>
        <w:tc>
          <w:tcPr>
            <w:tcW w:type="dxa" w:w="2520"/>
            <w:tcMar>
              <w:top w:w="80" w:type="dxa"/>
              <w:start w:w="100" w:type="dxa"/>
              <w:bottom w:w="80" w:type="dxa"/>
              <w:end w:w="100" w:type="dxa"/>
            </w:tcMar>
            <w:vAlign w:val="top"/>
          </w:tcPr>
          <w:p>
            <w:r>
              <w:rPr>
                <w:sz w:val="16"/>
              </w:rPr>
              <w:t>Broad spend fallback</w:t>
            </w:r>
          </w:p>
        </w:tc>
        <w:tc>
          <w:tcPr>
            <w:tcW w:type="dxa" w:w="2520"/>
            <w:tcMar>
              <w:top w:w="80" w:type="dxa"/>
              <w:start w:w="100" w:type="dxa"/>
              <w:bottom w:w="80" w:type="dxa"/>
              <w:end w:w="100" w:type="dxa"/>
            </w:tcMar>
            <w:vAlign w:val="top"/>
          </w:tcPr>
          <w:p>
            <w:r>
              <w:rPr>
                <w:sz w:val="16"/>
              </w:rPr>
              <w:t>Broad CBS-derived category intensity + valid price-year adjustment</w:t>
            </w:r>
          </w:p>
        </w:tc>
        <w:tc>
          <w:tcPr>
            <w:tcW w:type="dxa" w:w="2520"/>
            <w:tcMar>
              <w:top w:w="80" w:type="dxa"/>
              <w:start w:w="100" w:type="dxa"/>
              <w:bottom w:w="80" w:type="dxa"/>
              <w:end w:w="100" w:type="dxa"/>
            </w:tcMar>
            <w:vAlign w:val="top"/>
          </w:tcPr>
          <w:p>
            <w:r>
              <w:rPr>
                <w:sz w:val="16"/>
              </w:rPr>
              <w:t>Low-medium</w:t>
            </w:r>
          </w:p>
        </w:tc>
      </w:tr>
      <w:tr>
        <w:tc>
          <w:tcPr>
            <w:tcW w:type="dxa" w:w="2520"/>
            <w:tcMar>
              <w:top w:w="80" w:type="dxa"/>
              <w:start w:w="100" w:type="dxa"/>
              <w:bottom w:w="80" w:type="dxa"/>
              <w:end w:w="100" w:type="dxa"/>
            </w:tcMar>
            <w:vAlign w:val="top"/>
          </w:tcPr>
          <w:p>
            <w:r>
              <w:rPr>
                <w:sz w:val="16"/>
              </w:rPr>
              <w:t>E</w:t>
            </w:r>
          </w:p>
        </w:tc>
        <w:tc>
          <w:tcPr>
            <w:tcW w:type="dxa" w:w="2520"/>
            <w:tcMar>
              <w:top w:w="80" w:type="dxa"/>
              <w:start w:w="100" w:type="dxa"/>
              <w:bottom w:w="80" w:type="dxa"/>
              <w:end w:w="100" w:type="dxa"/>
            </w:tcMar>
            <w:vAlign w:val="top"/>
          </w:tcPr>
          <w:p>
            <w:r>
              <w:rPr>
                <w:sz w:val="16"/>
              </w:rPr>
              <w:t>Generic fallback</w:t>
            </w:r>
          </w:p>
        </w:tc>
        <w:tc>
          <w:tcPr>
            <w:tcW w:type="dxa" w:w="2520"/>
            <w:tcMar>
              <w:top w:w="80" w:type="dxa"/>
              <w:start w:w="100" w:type="dxa"/>
              <w:bottom w:w="80" w:type="dxa"/>
              <w:end w:w="100" w:type="dxa"/>
            </w:tcMar>
            <w:vAlign w:val="top"/>
          </w:tcPr>
          <w:p>
            <w:r>
              <w:rPr>
                <w:sz w:val="16"/>
              </w:rPr>
              <w:t>Ambiguous merchant/product; broad generic estimate</w:t>
            </w:r>
          </w:p>
        </w:tc>
        <w:tc>
          <w:tcPr>
            <w:tcW w:type="dxa" w:w="2520"/>
            <w:tcMar>
              <w:top w:w="80" w:type="dxa"/>
              <w:start w:w="100" w:type="dxa"/>
              <w:bottom w:w="80" w:type="dxa"/>
              <w:end w:w="100" w:type="dxa"/>
            </w:tcMar>
            <w:vAlign w:val="top"/>
          </w:tcPr>
          <w:p>
            <w:r>
              <w:rPr>
                <w:sz w:val="16"/>
              </w:rPr>
              <w:t>Low</w:t>
            </w:r>
          </w:p>
        </w:tc>
      </w:tr>
      <w:tr>
        <w:tc>
          <w:tcPr>
            <w:tcW w:type="dxa" w:w="2520"/>
            <w:tcMar>
              <w:top w:w="80" w:type="dxa"/>
              <w:start w:w="100" w:type="dxa"/>
              <w:bottom w:w="80" w:type="dxa"/>
              <w:end w:w="100" w:type="dxa"/>
            </w:tcMar>
            <w:vAlign w:val="top"/>
          </w:tcPr>
          <w:p>
            <w:r>
              <w:rPr>
                <w:sz w:val="16"/>
              </w:rPr>
              <w:t>X</w:t>
            </w:r>
          </w:p>
        </w:tc>
        <w:tc>
          <w:tcPr>
            <w:tcW w:type="dxa" w:w="2520"/>
            <w:tcMar>
              <w:top w:w="80" w:type="dxa"/>
              <w:start w:w="100" w:type="dxa"/>
              <w:bottom w:w="80" w:type="dxa"/>
              <w:end w:w="100" w:type="dxa"/>
            </w:tcMar>
            <w:vAlign w:val="top"/>
          </w:tcPr>
          <w:p>
            <w:r>
              <w:rPr>
                <w:sz w:val="16"/>
              </w:rPr>
              <w:t>Development placeholder</w:t>
            </w:r>
          </w:p>
        </w:tc>
        <w:tc>
          <w:tcPr>
            <w:tcW w:type="dxa" w:w="2520"/>
            <w:tcMar>
              <w:top w:w="80" w:type="dxa"/>
              <w:start w:w="100" w:type="dxa"/>
              <w:bottom w:w="80" w:type="dxa"/>
              <w:end w:w="100" w:type="dxa"/>
            </w:tcMar>
            <w:vAlign w:val="top"/>
          </w:tcPr>
          <w:p>
            <w:r>
              <w:rPr>
                <w:sz w:val="16"/>
              </w:rPr>
              <w:t>Synthetic/test factor</w:t>
            </w:r>
          </w:p>
        </w:tc>
        <w:tc>
          <w:tcPr>
            <w:tcW w:type="dxa" w:w="2520"/>
            <w:tcMar>
              <w:top w:w="80" w:type="dxa"/>
              <w:start w:w="100" w:type="dxa"/>
              <w:bottom w:w="80" w:type="dxa"/>
              <w:end w:w="100" w:type="dxa"/>
            </w:tcMar>
            <w:vAlign w:val="top"/>
          </w:tcPr>
          <w:p>
            <w:r>
              <w:rPr>
                <w:sz w:val="16"/>
              </w:rPr>
              <w:t>Development only; never production</w:t>
            </w:r>
          </w:p>
        </w:tc>
      </w:tr>
    </w:tbl>
    <w:p>
      <w:r>
        <w:t>Selection rule: the engine should use the highest-quality method supported by the available evidence. A lower-level method must not overwrite a higher-quality result unless a documented review justifies the change.</w:t>
      </w:r>
    </w:p>
    <w:p>
      <w:pPr/>
      <w:r>
        <w:t>Anti-double-counting rule: each underlying purchase or expenditure amount may contribute to the footprint once only. If reliable activity or product-level evidence replaces a spend-based estimate for a transaction, that transaction must be excluded from any residual spend pool covering the same purchase.</w:t>
      </w:r>
    </w:p>
    <w:p>
      <w:pPr/>
      <w:r>
        <w:t>Residual-spend rule: aggregate spend-based calculations may be applied only to the portion of expenditure that has not already been represented through an activity-based or product/LCA-based path. The calculation record must retain the original transaction identifier, selected method, superseded method (if any), and residual-allocation status so that aggregate totals can be reconciled without overlap.</w:t>
      </w:r>
    </w:p>
    <w:p>
      <w:pPr>
        <w:pStyle w:val="Heading1"/>
      </w:pPr>
      <w:r>
        <w:t>5. Core Equations</w:t>
      </w:r>
    </w:p>
    <w:p>
      <w:pPr>
        <w:pStyle w:val="Heading2"/>
      </w:pPr>
      <w:r>
        <w:t>5.1 Activity-based</w:t>
      </w:r>
    </w:p>
    <w:p>
      <w:pPr>
        <w:jc w:val="center"/>
      </w:pPr>
      <w:r>
        <w:rPr>
          <w:b/>
          <w:sz w:val="22"/>
        </w:rPr>
        <w:t>Estimated CO₂e = Physical activity × Emission factor</w:t>
      </w:r>
    </w:p>
    <w:p>
      <w:r>
        <w:t>Examples include litres of fuel × kg CO₂e/litre, passenger-kilometres × kg CO₂e/passenger-km, electricity × kg CO₂e/kWh, or natural gas × kg CO₂e/Nm³.</w:t>
      </w:r>
    </w:p>
    <w:p>
      <w:pPr>
        <w:pStyle w:val="Heading2"/>
      </w:pPr>
      <w:r>
        <w:t>5.2 Spend-based</w:t>
      </w:r>
    </w:p>
    <w:p>
      <w:pPr>
        <w:jc w:val="center"/>
      </w:pPr>
      <w:r>
        <w:rPr>
          <w:b/>
          <w:sz w:val="20"/>
        </w:rPr>
        <w:t>Adjusted expenditure = Current expenditure × CPI(reference period, category) / CPI(transaction period, category)</w:t>
      </w:r>
    </w:p>
    <w:p>
      <w:pPr>
        <w:jc w:val="center"/>
      </w:pPr>
      <w:r>
        <w:rPr>
          <w:b/>
          <w:sz w:val="20"/>
        </w:rPr>
        <w:t>Estimated CO₂e = Adjusted expenditure × Emission intensity(reference year)</w:t>
      </w:r>
    </w:p>
    <w:p>
      <w:r>
        <w:t>Category-specific price indices should be used where a continuous comparable series exists. CBS states that the 2025=100 CPI series recodes 2010–2024 articles to ECOICOPv2 where possible, supporting more consistent time-series adjustment. [5] If an appropriate comparable index is unavailable, the calculation must use the nearest reliable aggregate with reduced confidence, or decline to provide a precise estimate.</w:t>
      </w:r>
    </w:p>
    <w:p>
      <w:pPr/>
      <w:r>
        <w:t>Price adjustment limitation: CPI adjustment changes the monetary reference basis; it does not update the underlying physical carbon intensity of production. Changes in electricity mix, technology, fuel efficiency, supply chains and consumption composition can therefore cause real carbon intensity per euro to drift even after inflation adjustment.</w:t>
      </w:r>
    </w:p>
    <w:p>
      <w:pPr/>
      <w:r>
        <w:t>Re-derivation policy for Nula-derived broad fallback ratios: the underlying emission-to-expenditure ratio must be re-derived when a materially newer compatible footprint/expenditure dataset becomes available and must undergo a formal suitability review at least annually. A ratio based on a reference dataset more than five calendar years older than the transaction year may not be promoted as a normal production factor without documented reviewer approval; otherwise it is downgraded to Grade E or withheld. This five-year limit is a Nula governance threshold, not an external scientific standard.</w:t>
      </w:r>
    </w:p>
    <w:p>
      <w:pPr>
        <w:pStyle w:val="Heading1"/>
      </w:pPr>
      <w:r>
        <w:t>6. Classification and Merchant Mapping</w:t>
      </w:r>
    </w:p>
    <w:p>
      <w:r>
        <w:t>Transactions should be classified through a chain rather than by assigning a fixed factor to a merchant:</w:t>
      </w:r>
    </w:p>
    <w:p>
      <w:pPr>
        <w:jc w:val="center"/>
      </w:pPr>
      <w:r>
        <w:rPr>
          <w:b/>
        </w:rPr>
        <w:t>Transaction → Merchant resolution → Product/service context → COICOP/ECOICOP mapping → Method selection → Factor → Result</w:t>
      </w:r>
    </w:p>
    <w:p>
      <w:pPr>
        <w:pStyle w:val="ListBullet"/>
      </w:pPr>
      <w:r>
        <w:t>Marketplaces (for example multi-category online retailers) must not receive one permanent product factor merely from merchant identity.</w:t>
      </w:r>
    </w:p>
    <w:p>
      <w:pPr>
        <w:pStyle w:val="ListBullet"/>
      </w:pPr>
      <w:r>
        <w:t>Supermarkets may initially map to a broad food category, but receipt or item-level data should upgrade the method when available.</w:t>
      </w:r>
    </w:p>
    <w:p>
      <w:pPr>
        <w:pStyle w:val="ListBullet"/>
      </w:pPr>
      <w:r>
        <w:t>Fuel retailers should use litres/fuel type when available; a euro amount alone must not be treated as known litres.</w:t>
      </w:r>
    </w:p>
    <w:p>
      <w:pPr>
        <w:pStyle w:val="ListBullet"/>
      </w:pPr>
      <w:r>
        <w:t>Rail or air travel should use route/distance or passenger-kilometres where available; ticket price alone must not be converted into a fabricated distance.</w:t>
      </w:r>
    </w:p>
    <w:p>
      <w:pPr>
        <w:pStyle w:val="Heading1"/>
      </w:pPr>
      <w:r>
        <w:t>7. Source Hierarchy</w:t>
      </w:r>
    </w:p>
    <w:p>
      <w:pPr>
        <w:pStyle w:val="ListNumber"/>
      </w:pPr>
      <w:r>
        <w:t>Dutch authoritative/public sources, including CBS/PBL methods and CO₂-emissiefactoren.nl.</w:t>
      </w:r>
    </w:p>
    <w:p>
      <w:pPr>
        <w:pStyle w:val="ListNumber"/>
      </w:pPr>
      <w:r>
        <w:t>Dutch product-level lifecycle sources where relevant, including the RIVM food LCA database.</w:t>
      </w:r>
    </w:p>
    <w:p>
      <w:pPr>
        <w:pStyle w:val="ListNumber"/>
      </w:pPr>
      <w:r>
        <w:t>European Commission Environmental Footprint methods and valid category rules (for example apparel and footwear PEFCR).</w:t>
      </w:r>
    </w:p>
    <w:p>
      <w:pPr>
        <w:pStyle w:val="ListNumber"/>
      </w:pPr>
      <w:r>
        <w:t>GHG Protocol and credible EEIO/LCA datasets where Dutch-specific data are unavailable.</w:t>
      </w:r>
    </w:p>
    <w:p>
      <w:pPr>
        <w:pStyle w:val="ListNumber"/>
      </w:pPr>
      <w:r>
        <w:t>Generic fallback data only with reduced confidence and explicit disclosure.</w:t>
      </w:r>
    </w:p>
    <w:p>
      <w:pPr>
        <w:pStyle w:val="Heading1"/>
      </w:pPr>
      <w:r>
        <w:t>8. Domain-specific Rules</w:t>
      </w:r>
    </w:p>
    <w:p>
      <w:pPr>
        <w:pStyle w:val="Heading2"/>
      </w:pPr>
      <w:r>
        <w:t>8.1 Transport and fuels</w:t>
      </w:r>
    </w:p>
    <w:p>
      <w:r>
        <w:t>For transport, physical fuel use or actual travel activity is preferred. CO₂-emissiefactoren.nl explicitly states that actual fuel/electricity use is more accurate than generic vehicle-distance factors when available. The 2026 list provides WTW, TTW and WTT values. [6][7][8]</w:t>
      </w:r>
    </w:p>
    <w:p>
      <w:pPr>
        <w:pStyle w:val="Heading3"/>
      </w:pPr>
      <w:r>
        <w:t>8.1.1 Aviation non-CO₂ effects</w:t>
      </w:r>
    </w:p>
    <w:p>
      <w:pPr/>
      <w:r>
        <w:t>Aviation factors can differ materially depending on whether and how non-CO₂ climate effects are included. For every flight factor, Nula must store and disclose whether non-CO₂ effects are excluded, embedded in the published factor, or applied through a separate uplift/multiplier. If a multiplier is used, its numerical value, source, scope and version must be recorded. Nula must not describe a flight result as directly comparable with another calculator unless system boundaries and non-CO₂ treatment are aligned.</w:t>
      </w:r>
    </w:p>
    <w:p>
      <w:pPr>
        <w:pStyle w:val="Heading2"/>
      </w:pPr>
      <w:r>
        <w:t>8.2 Home energy</w:t>
      </w:r>
    </w:p>
    <w:p>
      <w:r>
        <w:t>Electricity should use source-specific data where known; otherwise the Dutch “unknown/grid mix” factor may be used as a location-based factor. Natural-gas calculations should use Nm³ where available. [9][10]</w:t>
      </w:r>
    </w:p>
    <w:p>
      <w:pPr/>
      <w:r>
        <w:t>Scope 2-style disclosure limitation: Nula's default Dutch grid-mix estimate is location-based in character. It must not be presented as a market-based contractual electricity footprint. Where a user provides credible supplier/product or contractual-instrument information (for example renewable-product or guarantee-of-origin evidence), Nula may store a separate market-based-style estimate only when the applicable factor, boundary and evidence rules are explicitly defined. Until then, green-contract claims are a known limitation rather than an automatic zero-emission adjustment.</w:t>
      </w:r>
    </w:p>
    <w:p>
      <w:pPr>
        <w:pStyle w:val="Heading2"/>
      </w:pPr>
      <w:r>
        <w:t>8.3 Food</w:t>
      </w:r>
    </w:p>
    <w:p>
      <w:r>
        <w:t>When only grocery expenditure is known, Nula may use a spend-based food estimate with the appropriate price-year adjustment. If item quantities are available, the preferred route is product-level lifecycle data. The RIVM database contains roughly 400 generic food products and is intended for environmental analysis of Dutch food consumption. RIVM notes that the figures were not subjected to the ISO 14040 critical review required for direct comparative assertions about individual products; Nula must preserve this limitation. [11]</w:t>
      </w:r>
    </w:p>
    <w:p>
      <w:pPr/>
      <w:r>
        <w:t>Product-comparison restriction: where the underlying dataset has not undergone the critical review required for comparative assertions, Nula must not use those values to make or imply a head-to-head environmental superiority claim between individual products. Such data may support footprint estimation and general category insight within the source's stated limitations, but not an unsupported 'product A is greener than product B' ranking.</w:t>
      </w:r>
    </w:p>
    <w:p>
      <w:pPr>
        <w:pStyle w:val="Heading2"/>
      </w:pPr>
      <w:r>
        <w:t>8.4 Clothing and footwear</w:t>
      </w:r>
    </w:p>
    <w:p>
      <w:r>
        <w:t>Where suitable lifecycle inventory data exist, product-level calculations should follow an Environmental Footprint-compatible approach. The 2025 EU apparel and footwear PEFCR provides a science-based lifecycle methodology from raw material extraction through production, logistics, use and end-of-life; it is a methodology, not a universal fixed kg CO₂e value per garment. [12][13]</w:t>
      </w:r>
    </w:p>
    <w:p>
      <w:pPr>
        <w:pStyle w:val="Heading2"/>
      </w:pPr>
      <w:r>
        <w:t>8.5 Electronics and services</w:t>
      </w:r>
    </w:p>
    <w:p>
      <w:r>
        <w:t>For electronics, product identity materially affects the footprint, so a marketplace or broad “electronics” merchant should not automatically receive a single product-level factor. Where product-level data are unavailable, detailed EEIO/COICOP expenditure methods are preferred. For services, spend-based EEIO is often the most defensible fallback because physical activity units are frequently unavailable; however, spend and emissions may correlate poorly for some services and this uncertainty must be reflected in confidence. [4]</w:t>
      </w:r>
    </w:p>
    <w:p>
      <w:pPr/>
      <w:r>
        <w:t>For spend-based services and other high-variance categories, the production data model should retain a quantitative uncertainty field or interval in addition to the categorical confidence grade. Until a category-specific uncertainty model is empirically calibrated, Nula must not invent numerical error bands; the field may remain 'not quantified' while the estimate is labelled Low/Medium confidence as appropriate.</w:t>
      </w:r>
    </w:p>
    <w:p>
      <w:pPr>
        <w:pStyle w:val="Heading1"/>
      </w:pPr>
      <w:r>
        <w:t>9. Broad CBS-derived Fallback Intensities</w:t>
      </w:r>
    </w:p>
    <w:p>
      <w:r>
        <w:t>For MVP fallback use only, Nula may derive broad 2020 intensities by dividing CBS average household footprint by CBS average household expenditure for matching broad categories. These are Nula-derived ratios from two official CBS outputs; they are not published by CBS as official emission coefficients and must be labelled accordingly. [2][14]</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2E6B57"/>
            <w:tcMar>
              <w:top w:w="80" w:type="dxa"/>
              <w:start w:w="100" w:type="dxa"/>
              <w:bottom w:w="80" w:type="dxa"/>
              <w:end w:w="100" w:type="dxa"/>
            </w:tcMar>
            <w:vAlign w:val="center"/>
          </w:tcPr>
          <w:p>
            <w:r>
              <w:rPr>
                <w:b/>
                <w:color w:val="FFFFFF"/>
                <w:sz w:val="17"/>
              </w:rPr>
              <w:t>Broad category</w:t>
            </w:r>
          </w:p>
        </w:tc>
        <w:tc>
          <w:tcPr>
            <w:tcW w:type="dxa" w:w="2520"/>
            <w:shd w:fill="2E6B57"/>
            <w:tcMar>
              <w:top w:w="80" w:type="dxa"/>
              <w:start w:w="100" w:type="dxa"/>
              <w:bottom w:w="80" w:type="dxa"/>
              <w:end w:w="100" w:type="dxa"/>
            </w:tcMar>
            <w:vAlign w:val="center"/>
          </w:tcPr>
          <w:p>
            <w:r>
              <w:rPr>
                <w:b/>
                <w:color w:val="FFFFFF"/>
                <w:sz w:val="17"/>
              </w:rPr>
              <w:t>CBS 2020 footprint (kg CO₂e/household)</w:t>
            </w:r>
          </w:p>
        </w:tc>
        <w:tc>
          <w:tcPr>
            <w:tcW w:type="dxa" w:w="2520"/>
            <w:shd w:fill="2E6B57"/>
            <w:tcMar>
              <w:top w:w="80" w:type="dxa"/>
              <w:start w:w="100" w:type="dxa"/>
              <w:bottom w:w="80" w:type="dxa"/>
              <w:end w:w="100" w:type="dxa"/>
            </w:tcMar>
            <w:vAlign w:val="center"/>
          </w:tcPr>
          <w:p>
            <w:r>
              <w:rPr>
                <w:b/>
                <w:color w:val="FFFFFF"/>
                <w:sz w:val="17"/>
              </w:rPr>
              <w:t>CBS 2020 expenditure (€)</w:t>
            </w:r>
          </w:p>
        </w:tc>
        <w:tc>
          <w:tcPr>
            <w:tcW w:type="dxa" w:w="2520"/>
            <w:shd w:fill="2E6B57"/>
            <w:tcMar>
              <w:top w:w="80" w:type="dxa"/>
              <w:start w:w="100" w:type="dxa"/>
              <w:bottom w:w="80" w:type="dxa"/>
              <w:end w:w="100" w:type="dxa"/>
            </w:tcMar>
            <w:vAlign w:val="center"/>
          </w:tcPr>
          <w:p>
            <w:r>
              <w:rPr>
                <w:b/>
                <w:color w:val="FFFFFF"/>
                <w:sz w:val="17"/>
              </w:rPr>
              <w:t>Nula-derived intensity (kg CO₂e/€2020)</w:t>
            </w:r>
          </w:p>
        </w:tc>
      </w:tr>
      <w:tr>
        <w:tc>
          <w:tcPr>
            <w:tcW w:type="dxa" w:w="2520"/>
            <w:tcMar>
              <w:top w:w="80" w:type="dxa"/>
              <w:start w:w="100" w:type="dxa"/>
              <w:bottom w:w="80" w:type="dxa"/>
              <w:end w:w="100" w:type="dxa"/>
            </w:tcMar>
            <w:vAlign w:val="top"/>
          </w:tcPr>
          <w:p>
            <w:r>
              <w:rPr>
                <w:sz w:val="16"/>
              </w:rPr>
              <w:t>Food &amp; non-alcoholic beverages</w:t>
            </w:r>
          </w:p>
        </w:tc>
        <w:tc>
          <w:tcPr>
            <w:tcW w:type="dxa" w:w="2520"/>
            <w:tcMar>
              <w:top w:w="80" w:type="dxa"/>
              <w:start w:w="100" w:type="dxa"/>
              <w:bottom w:w="80" w:type="dxa"/>
              <w:end w:w="100" w:type="dxa"/>
            </w:tcMar>
            <w:vAlign w:val="top"/>
          </w:tcPr>
          <w:p>
            <w:r>
              <w:rPr>
                <w:sz w:val="16"/>
              </w:rPr>
              <w:t>2972</w:t>
            </w:r>
          </w:p>
        </w:tc>
        <w:tc>
          <w:tcPr>
            <w:tcW w:type="dxa" w:w="2520"/>
            <w:tcMar>
              <w:top w:w="80" w:type="dxa"/>
              <w:start w:w="100" w:type="dxa"/>
              <w:bottom w:w="80" w:type="dxa"/>
              <w:end w:w="100" w:type="dxa"/>
            </w:tcMar>
            <w:vAlign w:val="top"/>
          </w:tcPr>
          <w:p>
            <w:r>
              <w:rPr>
                <w:sz w:val="16"/>
              </w:rPr>
              <w:t>4458</w:t>
            </w:r>
          </w:p>
        </w:tc>
        <w:tc>
          <w:tcPr>
            <w:tcW w:type="dxa" w:w="2520"/>
            <w:tcMar>
              <w:top w:w="80" w:type="dxa"/>
              <w:start w:w="100" w:type="dxa"/>
              <w:bottom w:w="80" w:type="dxa"/>
              <w:end w:w="100" w:type="dxa"/>
            </w:tcMar>
            <w:vAlign w:val="top"/>
          </w:tcPr>
          <w:p>
            <w:r>
              <w:rPr>
                <w:sz w:val="16"/>
              </w:rPr>
              <w:t>0.667</w:t>
            </w:r>
          </w:p>
        </w:tc>
      </w:tr>
      <w:tr>
        <w:tc>
          <w:tcPr>
            <w:tcW w:type="dxa" w:w="2520"/>
            <w:tcMar>
              <w:top w:w="80" w:type="dxa"/>
              <w:start w:w="100" w:type="dxa"/>
              <w:bottom w:w="80" w:type="dxa"/>
              <w:end w:w="100" w:type="dxa"/>
            </w:tcMar>
            <w:vAlign w:val="top"/>
          </w:tcPr>
          <w:p>
            <w:r>
              <w:rPr>
                <w:sz w:val="16"/>
              </w:rPr>
              <w:t>Transport</w:t>
            </w:r>
          </w:p>
        </w:tc>
        <w:tc>
          <w:tcPr>
            <w:tcW w:type="dxa" w:w="2520"/>
            <w:tcMar>
              <w:top w:w="80" w:type="dxa"/>
              <w:start w:w="100" w:type="dxa"/>
              <w:bottom w:w="80" w:type="dxa"/>
              <w:end w:w="100" w:type="dxa"/>
            </w:tcMar>
            <w:vAlign w:val="top"/>
          </w:tcPr>
          <w:p>
            <w:r>
              <w:rPr>
                <w:sz w:val="16"/>
              </w:rPr>
              <w:t>2824</w:t>
            </w:r>
          </w:p>
        </w:tc>
        <w:tc>
          <w:tcPr>
            <w:tcW w:type="dxa" w:w="2520"/>
            <w:tcMar>
              <w:top w:w="80" w:type="dxa"/>
              <w:start w:w="100" w:type="dxa"/>
              <w:bottom w:w="80" w:type="dxa"/>
              <w:end w:w="100" w:type="dxa"/>
            </w:tcMar>
            <w:vAlign w:val="top"/>
          </w:tcPr>
          <w:p>
            <w:r>
              <w:rPr>
                <w:sz w:val="16"/>
              </w:rPr>
              <w:t>3955</w:t>
            </w:r>
          </w:p>
        </w:tc>
        <w:tc>
          <w:tcPr>
            <w:tcW w:type="dxa" w:w="2520"/>
            <w:tcMar>
              <w:top w:w="80" w:type="dxa"/>
              <w:start w:w="100" w:type="dxa"/>
              <w:bottom w:w="80" w:type="dxa"/>
              <w:end w:w="100" w:type="dxa"/>
            </w:tcMar>
            <w:vAlign w:val="top"/>
          </w:tcPr>
          <w:p>
            <w:r>
              <w:rPr>
                <w:sz w:val="16"/>
              </w:rPr>
              <w:t>0.714</w:t>
            </w:r>
          </w:p>
        </w:tc>
      </w:tr>
      <w:tr>
        <w:tc>
          <w:tcPr>
            <w:tcW w:type="dxa" w:w="2520"/>
            <w:tcMar>
              <w:top w:w="80" w:type="dxa"/>
              <w:start w:w="100" w:type="dxa"/>
              <w:bottom w:w="80" w:type="dxa"/>
              <w:end w:w="100" w:type="dxa"/>
            </w:tcMar>
            <w:vAlign w:val="top"/>
          </w:tcPr>
          <w:p>
            <w:r>
              <w:rPr>
                <w:sz w:val="16"/>
              </w:rPr>
              <w:t>Furnishings &amp; household appliances</w:t>
            </w:r>
          </w:p>
        </w:tc>
        <w:tc>
          <w:tcPr>
            <w:tcW w:type="dxa" w:w="2520"/>
            <w:tcMar>
              <w:top w:w="80" w:type="dxa"/>
              <w:start w:w="100" w:type="dxa"/>
              <w:bottom w:w="80" w:type="dxa"/>
              <w:end w:w="100" w:type="dxa"/>
            </w:tcMar>
            <w:vAlign w:val="top"/>
          </w:tcPr>
          <w:p>
            <w:r>
              <w:rPr>
                <w:sz w:val="16"/>
              </w:rPr>
              <w:t>667</w:t>
            </w:r>
          </w:p>
        </w:tc>
        <w:tc>
          <w:tcPr>
            <w:tcW w:type="dxa" w:w="2520"/>
            <w:tcMar>
              <w:top w:w="80" w:type="dxa"/>
              <w:start w:w="100" w:type="dxa"/>
              <w:bottom w:w="80" w:type="dxa"/>
              <w:end w:w="100" w:type="dxa"/>
            </w:tcMar>
            <w:vAlign w:val="top"/>
          </w:tcPr>
          <w:p>
            <w:r>
              <w:rPr>
                <w:sz w:val="16"/>
              </w:rPr>
              <w:t>2282</w:t>
            </w:r>
          </w:p>
        </w:tc>
        <w:tc>
          <w:tcPr>
            <w:tcW w:type="dxa" w:w="2520"/>
            <w:tcMar>
              <w:top w:w="80" w:type="dxa"/>
              <w:start w:w="100" w:type="dxa"/>
              <w:bottom w:w="80" w:type="dxa"/>
              <w:end w:w="100" w:type="dxa"/>
            </w:tcMar>
            <w:vAlign w:val="top"/>
          </w:tcPr>
          <w:p>
            <w:r>
              <w:rPr>
                <w:sz w:val="16"/>
              </w:rPr>
              <w:t>0.292</w:t>
            </w:r>
          </w:p>
        </w:tc>
      </w:tr>
      <w:tr>
        <w:tc>
          <w:tcPr>
            <w:tcW w:type="dxa" w:w="2520"/>
            <w:tcMar>
              <w:top w:w="80" w:type="dxa"/>
              <w:start w:w="100" w:type="dxa"/>
              <w:bottom w:w="80" w:type="dxa"/>
              <w:end w:w="100" w:type="dxa"/>
            </w:tcMar>
            <w:vAlign w:val="top"/>
          </w:tcPr>
          <w:p>
            <w:r>
              <w:rPr>
                <w:sz w:val="16"/>
              </w:rPr>
              <w:t>Restaurants &amp; hotels</w:t>
            </w:r>
          </w:p>
        </w:tc>
        <w:tc>
          <w:tcPr>
            <w:tcW w:type="dxa" w:w="2520"/>
            <w:tcMar>
              <w:top w:w="80" w:type="dxa"/>
              <w:start w:w="100" w:type="dxa"/>
              <w:bottom w:w="80" w:type="dxa"/>
              <w:end w:w="100" w:type="dxa"/>
            </w:tcMar>
            <w:vAlign w:val="top"/>
          </w:tcPr>
          <w:p>
            <w:r>
              <w:rPr>
                <w:sz w:val="16"/>
              </w:rPr>
              <w:t>513</w:t>
            </w:r>
          </w:p>
        </w:tc>
        <w:tc>
          <w:tcPr>
            <w:tcW w:type="dxa" w:w="2520"/>
            <w:tcMar>
              <w:top w:w="80" w:type="dxa"/>
              <w:start w:w="100" w:type="dxa"/>
              <w:bottom w:w="80" w:type="dxa"/>
              <w:end w:w="100" w:type="dxa"/>
            </w:tcMar>
            <w:vAlign w:val="top"/>
          </w:tcPr>
          <w:p>
            <w:r>
              <w:rPr>
                <w:sz w:val="16"/>
              </w:rPr>
              <w:t>1651</w:t>
            </w:r>
          </w:p>
        </w:tc>
        <w:tc>
          <w:tcPr>
            <w:tcW w:type="dxa" w:w="2520"/>
            <w:tcMar>
              <w:top w:w="80" w:type="dxa"/>
              <w:start w:w="100" w:type="dxa"/>
              <w:bottom w:w="80" w:type="dxa"/>
              <w:end w:w="100" w:type="dxa"/>
            </w:tcMar>
            <w:vAlign w:val="top"/>
          </w:tcPr>
          <w:p>
            <w:r>
              <w:rPr>
                <w:sz w:val="16"/>
              </w:rPr>
              <w:t>0.311</w:t>
            </w:r>
          </w:p>
        </w:tc>
      </w:tr>
      <w:tr>
        <w:tc>
          <w:tcPr>
            <w:tcW w:type="dxa" w:w="2520"/>
            <w:tcMar>
              <w:top w:w="80" w:type="dxa"/>
              <w:start w:w="100" w:type="dxa"/>
              <w:bottom w:w="80" w:type="dxa"/>
              <w:end w:w="100" w:type="dxa"/>
            </w:tcMar>
            <w:vAlign w:val="top"/>
          </w:tcPr>
          <w:p>
            <w:r>
              <w:rPr>
                <w:sz w:val="16"/>
              </w:rPr>
              <w:t>Clothing &amp; footwear</w:t>
            </w:r>
          </w:p>
        </w:tc>
        <w:tc>
          <w:tcPr>
            <w:tcW w:type="dxa" w:w="2520"/>
            <w:tcMar>
              <w:top w:w="80" w:type="dxa"/>
              <w:start w:w="100" w:type="dxa"/>
              <w:bottom w:w="80" w:type="dxa"/>
              <w:end w:w="100" w:type="dxa"/>
            </w:tcMar>
            <w:vAlign w:val="top"/>
          </w:tcPr>
          <w:p>
            <w:r>
              <w:rPr>
                <w:sz w:val="16"/>
              </w:rPr>
              <w:t>310</w:t>
            </w:r>
          </w:p>
        </w:tc>
        <w:tc>
          <w:tcPr>
            <w:tcW w:type="dxa" w:w="2520"/>
            <w:tcMar>
              <w:top w:w="80" w:type="dxa"/>
              <w:start w:w="100" w:type="dxa"/>
              <w:bottom w:w="80" w:type="dxa"/>
              <w:end w:w="100" w:type="dxa"/>
            </w:tcMar>
            <w:vAlign w:val="top"/>
          </w:tcPr>
          <w:p>
            <w:r>
              <w:rPr>
                <w:sz w:val="16"/>
              </w:rPr>
              <w:t>1394</w:t>
            </w:r>
          </w:p>
        </w:tc>
        <w:tc>
          <w:tcPr>
            <w:tcW w:type="dxa" w:w="2520"/>
            <w:tcMar>
              <w:top w:w="80" w:type="dxa"/>
              <w:start w:w="100" w:type="dxa"/>
              <w:bottom w:w="80" w:type="dxa"/>
              <w:end w:w="100" w:type="dxa"/>
            </w:tcMar>
            <w:vAlign w:val="top"/>
          </w:tcPr>
          <w:p>
            <w:r>
              <w:rPr>
                <w:sz w:val="16"/>
              </w:rPr>
              <w:t>0.222</w:t>
            </w:r>
          </w:p>
        </w:tc>
      </w:tr>
      <w:tr>
        <w:tc>
          <w:tcPr>
            <w:tcW w:type="dxa" w:w="2520"/>
            <w:tcMar>
              <w:top w:w="80" w:type="dxa"/>
              <w:start w:w="100" w:type="dxa"/>
              <w:bottom w:w="80" w:type="dxa"/>
              <w:end w:w="100" w:type="dxa"/>
            </w:tcMar>
            <w:vAlign w:val="top"/>
          </w:tcPr>
          <w:p>
            <w:r>
              <w:rPr>
                <w:sz w:val="16"/>
              </w:rPr>
              <w:t>Recreation &amp; culture</w:t>
            </w:r>
          </w:p>
        </w:tc>
        <w:tc>
          <w:tcPr>
            <w:tcW w:type="dxa" w:w="2520"/>
            <w:tcMar>
              <w:top w:w="80" w:type="dxa"/>
              <w:start w:w="100" w:type="dxa"/>
              <w:bottom w:w="80" w:type="dxa"/>
              <w:end w:w="100" w:type="dxa"/>
            </w:tcMar>
            <w:vAlign w:val="top"/>
          </w:tcPr>
          <w:p>
            <w:r>
              <w:rPr>
                <w:sz w:val="16"/>
              </w:rPr>
              <w:t>699</w:t>
            </w:r>
          </w:p>
        </w:tc>
        <w:tc>
          <w:tcPr>
            <w:tcW w:type="dxa" w:w="2520"/>
            <w:tcMar>
              <w:top w:w="80" w:type="dxa"/>
              <w:start w:w="100" w:type="dxa"/>
              <w:bottom w:w="80" w:type="dxa"/>
              <w:end w:w="100" w:type="dxa"/>
            </w:tcMar>
            <w:vAlign w:val="top"/>
          </w:tcPr>
          <w:p>
            <w:r>
              <w:rPr>
                <w:sz w:val="16"/>
              </w:rPr>
              <w:t>3020</w:t>
            </w:r>
          </w:p>
        </w:tc>
        <w:tc>
          <w:tcPr>
            <w:tcW w:type="dxa" w:w="2520"/>
            <w:tcMar>
              <w:top w:w="80" w:type="dxa"/>
              <w:start w:w="100" w:type="dxa"/>
              <w:bottom w:w="80" w:type="dxa"/>
              <w:end w:w="100" w:type="dxa"/>
            </w:tcMar>
            <w:vAlign w:val="top"/>
          </w:tcPr>
          <w:p>
            <w:r>
              <w:rPr>
                <w:sz w:val="16"/>
              </w:rPr>
              <w:t>0.231</w:t>
            </w:r>
          </w:p>
        </w:tc>
      </w:tr>
    </w:tbl>
    <w:p>
      <w:r>
        <w:t>These ratios should not be used directly on nominal 2026 expenditure without a valid category price adjustment. The 2020 Budget Survey was also affected by COVID-era spending patterns; therefore these values are fallback screening estimates rather than final high-confidence production factors.</w:t>
      </w:r>
    </w:p>
    <w:p>
      <w:pPr/>
      <w:r>
        <w:t>Operational interpretation: broad fallback is not treated as a rare edge case in the transaction-led MVP. It is an expected operating path for transactions that cannot be credibly enriched to physical activity, product-level data or a detailed spend coefficient. The dashboard must therefore communicate the resulting method mix and uncertainty rather than allowing high-quality reference cases to imply uniform precision.</w:t>
      </w:r>
    </w:p>
    <w:p>
      <w:pPr/>
      <w:r>
        <w:t>Broad fallback aggregation must obey the anti-double-counting and residual-spend rules in Section 4.</w:t>
      </w:r>
    </w:p>
    <w:p>
      <w:pPr>
        <w:pStyle w:val="Heading1"/>
      </w:pPr>
      <w:r>
        <w:t>10. Data Quality and Confidence</w:t>
      </w:r>
    </w:p>
    <w:p>
      <w:pPr>
        <w:pStyle w:val="ListBullet"/>
      </w:pPr>
      <w:r>
        <w:t>Confidence reflects evidence quality, factor specificity, geographic relevance, reference-year compatibility and classification certainty.</w:t>
      </w:r>
    </w:p>
    <w:p>
      <w:pPr>
        <w:pStyle w:val="ListBullet"/>
      </w:pPr>
      <w:r>
        <w:t>Confidence is not a statistical probability unless a separate quantitative uncertainty model is implemented.</w:t>
      </w:r>
    </w:p>
    <w:p>
      <w:pPr>
        <w:pStyle w:val="ListBullet"/>
      </w:pPr>
      <w:r>
        <w:t>When transaction classification is ambiguous, the user should be invited to clarify the purchase rather than receiving false precision.</w:t>
      </w:r>
    </w:p>
    <w:p>
      <w:pPr>
        <w:pStyle w:val="ListBullet"/>
      </w:pPr>
      <w:r>
        <w:t>Nula may show users a simplified label (High / Medium / Low) while storing the more detailed A–E/X internal grade.</w:t>
      </w:r>
    </w:p>
    <w:p>
      <w:pPr>
        <w:pStyle w:val="ListBullet"/>
      </w:pPr>
      <w:r>
        <w:t>Confidence calibration requirement: before public claims about typical accuracy or data quality are made, Nula must test a representative sample of Dutch consumer transactions and report the observed distribution of A–E/X grades, classification certainty, enrichment success and user-facing High/Medium/Low labels. Calibration must check that simplified labels do not systematically overstate evidence quality.</w:t>
      </w:r>
    </w:p>
    <w:p>
      <w:pPr>
        <w:pStyle w:val="ListBullet"/>
      </w:pPr>
      <w:r>
        <w:t>Where quantitative uncertainty is available, it must be stored separately from the confidence grade. Confidence describes evidence/method quality; an uncertainty interval describes the estimated numerical dispersion. They are related but not interchangeable.</w:t>
      </w:r>
    </w:p>
    <w:p>
      <w:pPr>
        <w:pStyle w:val="Heading1"/>
      </w:pPr>
      <w:r>
        <w:t>11. Versioning, Reproducibility and Audit Trail</w:t>
      </w:r>
    </w:p>
    <w:p>
      <w:pPr>
        <w:pStyle w:val="ListBullet"/>
      </w:pPr>
      <w:r>
        <w:t>Every transaction calculation must retain the factor ID, factor version, factor value, unit, source, reference year, geography, boundary, method and calculated result.</w:t>
      </w:r>
    </w:p>
    <w:p>
      <w:pPr>
        <w:pStyle w:val="ListBullet"/>
      </w:pPr>
      <w:r>
        <w:t>Reproducibility requirement: an authorised audit process must be able to retrieve the exact historical factor version and metadata referenced by a transaction, even after a newer factor becomes active. Ordinary users must not be able to alter factor records. Public/API exposure of historical factors is optional; audit-level retrievability is mandatory.</w:t>
      </w:r>
    </w:p>
    <w:p>
      <w:pPr>
        <w:pStyle w:val="ListBullet"/>
      </w:pPr>
      <w:r>
        <w:t>Historical transactions must not silently change when a factor is updated. New factors apply prospectively unless a documented methodology decision requires retrospective recalculation.</w:t>
      </w:r>
    </w:p>
    <w:p>
      <w:pPr>
        <w:pStyle w:val="ListBullet"/>
      </w:pPr>
      <w:r>
        <w:t>CO₂-emissiefactoren.nl publishes annual downloads, historical data and a change list and warns users that they remain responsible for correct application; Nula therefore treats factor provenance and version control as mandatory. [15]</w:t>
      </w:r>
    </w:p>
    <w:p>
      <w:pPr>
        <w:pStyle w:val="ListBullet"/>
      </w:pPr>
      <w:r>
        <w:t>Methodology changes must be documented in a change log and trigger regression testing against the Validation &amp; Audit Protocol.</w:t>
      </w:r>
    </w:p>
    <w:p>
      <w:pPr>
        <w:pStyle w:val="Heading1"/>
      </w:pPr>
      <w:r>
        <w:t>12. Claims and User-facing Language</w:t>
      </w:r>
    </w:p>
    <w:p>
      <w:pPr>
        <w:pStyle w:val="ListBullet"/>
      </w:pPr>
      <w:r>
        <w:t>Preferred: “Estimated CO₂e based on published emission factors and the available transaction/activity data.”</w:t>
      </w:r>
    </w:p>
    <w:p>
      <w:pPr>
        <w:pStyle w:val="ListBullet"/>
      </w:pPr>
      <w:r>
        <w:t>Preferred: “Scientifically grounded methodology” or “based on established lifecycle, emission-factor and EEIO methods.”</w:t>
      </w:r>
    </w:p>
    <w:p>
      <w:pPr>
        <w:pStyle w:val="ListBullet"/>
      </w:pPr>
      <w:r>
        <w:t>Avoid until independently assured: “scientifically validated”, “certified footprint”, “exact emissions”, or equivalent claims.</w:t>
      </w:r>
    </w:p>
    <w:p>
      <w:pPr>
        <w:pStyle w:val="ListBullet"/>
      </w:pPr>
      <w:r>
        <w:t>Where uncertainty is material, the interface should disclose method, source and confidence and provide a “How was this calculated?” view.</w:t>
      </w:r>
    </w:p>
    <w:p>
      <w:pPr>
        <w:pStyle w:val="Heading1"/>
      </w:pPr>
      <w:r>
        <w:t>13. Governance and Independent Review</w:t>
      </w:r>
    </w:p>
    <w:p>
      <w:r>
        <w:t>Before Nula describes the Carbon Engine as independently validated, this methodology and the Factor Master Library should be reviewed by a suitably qualified independent LCA/carbon-accounting expert. The review should test source selection, system boundaries, spend-factor derivation, price-year adjustment, category mapping, uncertainty treatment and the Validation Pack. Findings should be documented and resolved in a subsequent reviewed version (for example v1.1).</w:t>
      </w:r>
    </w:p>
    <w:p>
      <w:pPr/>
      <w:r>
        <w:t>Reviewer qualification and acceptance criteria: Nula should document the reviewer's independence, relevant LCA/carbon-accounting competence, scope of review, evidence examined, findings, severity classification, management response and closure status. No external standard or assurance level may be claimed unless the review is actually performed against that named standard by a party competent to do so.</w:t>
      </w:r>
    </w:p>
    <w:p>
      <w:pPr/>
      <w:r>
        <w:t>External benchmarking is required as a validation aid. Selected reference cases should be compared with at least one credible independent calculator or published benchmark where boundaries can be understood. Numerical equality is not the acceptance criterion: differences must be explainable through factor source, reference year, geography, allocation, lifecycle boundary, non-CO₂ treatment or other documented method choices. Unexplained material differences trigger investigation.</w:t>
      </w:r>
    </w:p>
    <w:p>
      <w:pPr/>
      <w:r>
        <w:t>Independent review does not by itself make every individual Nula estimate 'certified' or 'exact'. User-facing claims remain constrained by the evidence quality of the specific calculation.</w:t>
      </w:r>
    </w:p>
    <w:p>
      <w:pPr>
        <w:pStyle w:val="Heading1"/>
      </w:pPr>
      <w:r>
        <w:t>14. Current Readiness Assessment</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3360"/>
            <w:shd w:fill="2E6B57"/>
            <w:tcMar>
              <w:top w:w="80" w:type="dxa"/>
              <w:start w:w="100" w:type="dxa"/>
              <w:bottom w:w="80" w:type="dxa"/>
              <w:end w:w="100" w:type="dxa"/>
            </w:tcMar>
            <w:vAlign w:val="center"/>
          </w:tcPr>
          <w:p>
            <w:r>
              <w:rPr>
                <w:b/>
                <w:color w:val="FFFFFF"/>
                <w:sz w:val="17"/>
              </w:rPr>
              <w:t>Area</w:t>
            </w:r>
          </w:p>
        </w:tc>
        <w:tc>
          <w:tcPr>
            <w:tcW w:type="dxa" w:w="3360"/>
            <w:shd w:fill="2E6B57"/>
            <w:tcMar>
              <w:top w:w="80" w:type="dxa"/>
              <w:start w:w="100" w:type="dxa"/>
              <w:bottom w:w="80" w:type="dxa"/>
              <w:end w:w="100" w:type="dxa"/>
            </w:tcMar>
            <w:vAlign w:val="center"/>
          </w:tcPr>
          <w:p>
            <w:r>
              <w:rPr>
                <w:b/>
                <w:color w:val="FFFFFF"/>
                <w:sz w:val="17"/>
              </w:rPr>
              <w:t>Status</w:t>
            </w:r>
          </w:p>
        </w:tc>
        <w:tc>
          <w:tcPr>
            <w:tcW w:type="dxa" w:w="3360"/>
            <w:shd w:fill="2E6B57"/>
            <w:tcMar>
              <w:top w:w="80" w:type="dxa"/>
              <w:start w:w="100" w:type="dxa"/>
              <w:bottom w:w="80" w:type="dxa"/>
              <w:end w:w="100" w:type="dxa"/>
            </w:tcMar>
            <w:vAlign w:val="center"/>
          </w:tcPr>
          <w:p>
            <w:r>
              <w:rPr>
                <w:b/>
                <w:color w:val="FFFFFF"/>
                <w:sz w:val="17"/>
              </w:rPr>
              <w:t>Comment</w:t>
            </w:r>
          </w:p>
        </w:tc>
      </w:tr>
      <w:tr>
        <w:tc>
          <w:tcPr>
            <w:tcW w:type="dxa" w:w="3360"/>
            <w:tcMar>
              <w:top w:w="80" w:type="dxa"/>
              <w:start w:w="100" w:type="dxa"/>
              <w:bottom w:w="80" w:type="dxa"/>
              <w:end w:w="100" w:type="dxa"/>
            </w:tcMar>
            <w:vAlign w:val="top"/>
          </w:tcPr>
          <w:p>
            <w:r>
              <w:rPr>
                <w:sz w:val="16"/>
              </w:rPr>
              <w:t>Scientific conceptual basis</w:t>
            </w:r>
          </w:p>
        </w:tc>
        <w:tc>
          <w:tcPr>
            <w:tcW w:type="dxa" w:w="3360"/>
            <w:tcMar>
              <w:top w:w="80" w:type="dxa"/>
              <w:start w:w="100" w:type="dxa"/>
              <w:bottom w:w="80" w:type="dxa"/>
              <w:end w:w="100" w:type="dxa"/>
            </w:tcMar>
            <w:vAlign w:val="top"/>
          </w:tcPr>
          <w:p>
            <w:r>
              <w:rPr>
                <w:sz w:val="16"/>
              </w:rPr>
              <w:t>Strong</w:t>
            </w:r>
          </w:p>
        </w:tc>
        <w:tc>
          <w:tcPr>
            <w:tcW w:type="dxa" w:w="3360"/>
            <w:tcMar>
              <w:top w:w="80" w:type="dxa"/>
              <w:start w:w="100" w:type="dxa"/>
              <w:bottom w:w="80" w:type="dxa"/>
              <w:end w:w="100" w:type="dxa"/>
            </w:tcMar>
            <w:vAlign w:val="top"/>
          </w:tcPr>
          <w:p>
            <w:r>
              <w:rPr>
                <w:sz w:val="16"/>
              </w:rPr>
              <w:t>CBS/PBL SAMCA-FIGARO + established activity/LCA/EEIO methods</w:t>
            </w:r>
          </w:p>
        </w:tc>
      </w:tr>
      <w:tr>
        <w:tc>
          <w:tcPr>
            <w:tcW w:type="dxa" w:w="3360"/>
            <w:tcMar>
              <w:top w:w="80" w:type="dxa"/>
              <w:start w:w="100" w:type="dxa"/>
              <w:bottom w:w="80" w:type="dxa"/>
              <w:end w:w="100" w:type="dxa"/>
            </w:tcMar>
            <w:vAlign w:val="top"/>
          </w:tcPr>
          <w:p>
            <w:r>
              <w:rPr>
                <w:sz w:val="16"/>
              </w:rPr>
              <w:t>Dutch activity factors</w:t>
            </w:r>
          </w:p>
        </w:tc>
        <w:tc>
          <w:tcPr>
            <w:tcW w:type="dxa" w:w="3360"/>
            <w:tcMar>
              <w:top w:w="80" w:type="dxa"/>
              <w:start w:w="100" w:type="dxa"/>
              <w:bottom w:w="80" w:type="dxa"/>
              <w:end w:w="100" w:type="dxa"/>
            </w:tcMar>
            <w:vAlign w:val="top"/>
          </w:tcPr>
          <w:p>
            <w:r>
              <w:rPr>
                <w:sz w:val="16"/>
              </w:rPr>
              <w:t>Strong</w:t>
            </w:r>
          </w:p>
        </w:tc>
        <w:tc>
          <w:tcPr>
            <w:tcW w:type="dxa" w:w="3360"/>
            <w:tcMar>
              <w:top w:w="80" w:type="dxa"/>
              <w:start w:w="100" w:type="dxa"/>
              <w:bottom w:w="80" w:type="dxa"/>
              <w:end w:w="100" w:type="dxa"/>
            </w:tcMar>
            <w:vAlign w:val="top"/>
          </w:tcPr>
          <w:p>
            <w:r>
              <w:rPr>
                <w:sz w:val="16"/>
              </w:rPr>
              <w:t>Transport, fuel and energy sources available</w:t>
            </w:r>
          </w:p>
        </w:tc>
      </w:tr>
      <w:tr>
        <w:tc>
          <w:tcPr>
            <w:tcW w:type="dxa" w:w="3360"/>
            <w:tcMar>
              <w:top w:w="80" w:type="dxa"/>
              <w:start w:w="100" w:type="dxa"/>
              <w:bottom w:w="80" w:type="dxa"/>
              <w:end w:w="100" w:type="dxa"/>
            </w:tcMar>
            <w:vAlign w:val="top"/>
          </w:tcPr>
          <w:p>
            <w:r>
              <w:rPr>
                <w:sz w:val="16"/>
              </w:rPr>
              <w:t>Food item-level path</w:t>
            </w:r>
          </w:p>
        </w:tc>
        <w:tc>
          <w:tcPr>
            <w:tcW w:type="dxa" w:w="3360"/>
            <w:tcMar>
              <w:top w:w="80" w:type="dxa"/>
              <w:start w:w="100" w:type="dxa"/>
              <w:bottom w:w="80" w:type="dxa"/>
              <w:end w:w="100" w:type="dxa"/>
            </w:tcMar>
            <w:vAlign w:val="top"/>
          </w:tcPr>
          <w:p>
            <w:r>
              <w:rPr>
                <w:sz w:val="16"/>
              </w:rPr>
              <w:t>Strong with stated limitations</w:t>
            </w:r>
          </w:p>
        </w:tc>
        <w:tc>
          <w:tcPr>
            <w:tcW w:type="dxa" w:w="3360"/>
            <w:tcMar>
              <w:top w:w="80" w:type="dxa"/>
              <w:start w:w="100" w:type="dxa"/>
              <w:bottom w:w="80" w:type="dxa"/>
              <w:end w:w="100" w:type="dxa"/>
            </w:tcMar>
            <w:vAlign w:val="top"/>
          </w:tcPr>
          <w:p>
            <w:r>
              <w:rPr>
                <w:sz w:val="16"/>
              </w:rPr>
              <w:t>RIVM generic-food LCA database</w:t>
            </w:r>
          </w:p>
        </w:tc>
      </w:tr>
      <w:tr>
        <w:tc>
          <w:tcPr>
            <w:tcW w:type="dxa" w:w="3360"/>
            <w:tcMar>
              <w:top w:w="80" w:type="dxa"/>
              <w:start w:w="100" w:type="dxa"/>
              <w:bottom w:w="80" w:type="dxa"/>
              <w:end w:w="100" w:type="dxa"/>
            </w:tcMar>
            <w:vAlign w:val="top"/>
          </w:tcPr>
          <w:p>
            <w:r>
              <w:rPr>
                <w:sz w:val="16"/>
              </w:rPr>
              <w:t>COICOP/ECOICOP taxonomy</w:t>
            </w:r>
          </w:p>
        </w:tc>
        <w:tc>
          <w:tcPr>
            <w:tcW w:type="dxa" w:w="3360"/>
            <w:tcMar>
              <w:top w:w="80" w:type="dxa"/>
              <w:start w:w="100" w:type="dxa"/>
              <w:bottom w:w="80" w:type="dxa"/>
              <w:end w:w="100" w:type="dxa"/>
            </w:tcMar>
            <w:vAlign w:val="top"/>
          </w:tcPr>
          <w:p>
            <w:r>
              <w:rPr>
                <w:sz w:val="16"/>
              </w:rPr>
              <w:t>Strong</w:t>
            </w:r>
          </w:p>
        </w:tc>
        <w:tc>
          <w:tcPr>
            <w:tcW w:type="dxa" w:w="3360"/>
            <w:tcMar>
              <w:top w:w="80" w:type="dxa"/>
              <w:start w:w="100" w:type="dxa"/>
              <w:bottom w:w="80" w:type="dxa"/>
              <w:end w:w="100" w:type="dxa"/>
            </w:tcMar>
            <w:vAlign w:val="top"/>
          </w:tcPr>
          <w:p>
            <w:r>
              <w:rPr>
                <w:sz w:val="16"/>
              </w:rPr>
              <w:t>Official consumption classification</w:t>
            </w:r>
          </w:p>
        </w:tc>
      </w:tr>
      <w:tr>
        <w:tc>
          <w:tcPr>
            <w:tcW w:type="dxa" w:w="3360"/>
            <w:tcMar>
              <w:top w:w="80" w:type="dxa"/>
              <w:start w:w="100" w:type="dxa"/>
              <w:bottom w:w="80" w:type="dxa"/>
              <w:end w:w="100" w:type="dxa"/>
            </w:tcMar>
            <w:vAlign w:val="top"/>
          </w:tcPr>
          <w:p>
            <w:r>
              <w:rPr>
                <w:sz w:val="16"/>
              </w:rPr>
              <w:t>Price-year adjustment architecture</w:t>
            </w:r>
          </w:p>
        </w:tc>
        <w:tc>
          <w:tcPr>
            <w:tcW w:type="dxa" w:w="3360"/>
            <w:tcMar>
              <w:top w:w="80" w:type="dxa"/>
              <w:start w:w="100" w:type="dxa"/>
              <w:bottom w:w="80" w:type="dxa"/>
              <w:end w:w="100" w:type="dxa"/>
            </w:tcMar>
            <w:vAlign w:val="top"/>
          </w:tcPr>
          <w:p>
            <w:r>
              <w:rPr>
                <w:sz w:val="16"/>
              </w:rPr>
              <w:t>Strong</w:t>
            </w:r>
          </w:p>
        </w:tc>
        <w:tc>
          <w:tcPr>
            <w:tcW w:type="dxa" w:w="3360"/>
            <w:tcMar>
              <w:top w:w="80" w:type="dxa"/>
              <w:start w:w="100" w:type="dxa"/>
              <w:bottom w:w="80" w:type="dxa"/>
              <w:end w:w="100" w:type="dxa"/>
            </w:tcMar>
            <w:vAlign w:val="top"/>
          </w:tcPr>
          <w:p>
            <w:r>
              <w:rPr>
                <w:sz w:val="16"/>
              </w:rPr>
              <w:t>CBS CPI/ECOICOPv2 time series</w:t>
            </w:r>
          </w:p>
        </w:tc>
      </w:tr>
      <w:tr>
        <w:tc>
          <w:tcPr>
            <w:tcW w:type="dxa" w:w="3360"/>
            <w:tcMar>
              <w:top w:w="80" w:type="dxa"/>
              <w:start w:w="100" w:type="dxa"/>
              <w:bottom w:w="80" w:type="dxa"/>
              <w:end w:w="100" w:type="dxa"/>
            </w:tcMar>
            <w:vAlign w:val="top"/>
          </w:tcPr>
          <w:p>
            <w:r>
              <w:rPr>
                <w:sz w:val="16"/>
              </w:rPr>
              <w:t>Detailed spend-factor library</w:t>
            </w:r>
          </w:p>
        </w:tc>
        <w:tc>
          <w:tcPr>
            <w:tcW w:type="dxa" w:w="3360"/>
            <w:tcMar>
              <w:top w:w="80" w:type="dxa"/>
              <w:start w:w="100" w:type="dxa"/>
              <w:bottom w:w="80" w:type="dxa"/>
              <w:end w:w="100" w:type="dxa"/>
            </w:tcMar>
            <w:vAlign w:val="top"/>
          </w:tcPr>
          <w:p>
            <w:r>
              <w:rPr>
                <w:sz w:val="16"/>
              </w:rPr>
              <w:t>Incomplete</w:t>
            </w:r>
          </w:p>
        </w:tc>
        <w:tc>
          <w:tcPr>
            <w:tcW w:type="dxa" w:w="3360"/>
            <w:tcMar>
              <w:top w:w="80" w:type="dxa"/>
              <w:start w:w="100" w:type="dxa"/>
              <w:bottom w:w="80" w:type="dxa"/>
              <w:end w:w="100" w:type="dxa"/>
            </w:tcMar>
            <w:vAlign w:val="top"/>
          </w:tcPr>
          <w:p>
            <w:r>
              <w:rPr>
                <w:sz w:val="16"/>
              </w:rPr>
              <w:t>Requires further coefficient development/access</w:t>
            </w:r>
          </w:p>
        </w:tc>
      </w:tr>
      <w:tr>
        <w:tc>
          <w:tcPr>
            <w:tcW w:type="dxa" w:w="3360"/>
            <w:tcMar>
              <w:top w:w="80" w:type="dxa"/>
              <w:start w:w="100" w:type="dxa"/>
              <w:bottom w:w="80" w:type="dxa"/>
              <w:end w:w="100" w:type="dxa"/>
            </w:tcMar>
            <w:vAlign w:val="top"/>
          </w:tcPr>
          <w:p>
            <w:r>
              <w:rPr>
                <w:sz w:val="16"/>
              </w:rPr>
              <w:t>Independent assurance</w:t>
            </w:r>
          </w:p>
        </w:tc>
        <w:tc>
          <w:tcPr>
            <w:tcW w:type="dxa" w:w="3360"/>
            <w:tcMar>
              <w:top w:w="80" w:type="dxa"/>
              <w:start w:w="100" w:type="dxa"/>
              <w:bottom w:w="80" w:type="dxa"/>
              <w:end w:w="100" w:type="dxa"/>
            </w:tcMar>
            <w:vAlign w:val="top"/>
          </w:tcPr>
          <w:p>
            <w:r>
              <w:rPr>
                <w:sz w:val="16"/>
              </w:rPr>
              <w:t>Not completed</w:t>
            </w:r>
          </w:p>
        </w:tc>
        <w:tc>
          <w:tcPr>
            <w:tcW w:type="dxa" w:w="3360"/>
            <w:tcMar>
              <w:top w:w="80" w:type="dxa"/>
              <w:start w:w="100" w:type="dxa"/>
              <w:bottom w:w="80" w:type="dxa"/>
              <w:end w:w="100" w:type="dxa"/>
            </w:tcMar>
            <w:vAlign w:val="top"/>
          </w:tcPr>
          <w:p>
            <w:r>
              <w:rPr>
                <w:sz w:val="16"/>
              </w:rPr>
              <w:t>Required before validated/certified claims</w:t>
            </w:r>
          </w:p>
        </w:tc>
      </w:tr>
      <w:tr>
        <w:tc>
          <w:tcPr>
            <w:tcW w:type="dxa" w:w="3360"/>
          </w:tcPr>
          <w:p>
            <w:r>
              <w:t>Realistic transaction operating mode</w:t>
            </w:r>
          </w:p>
        </w:tc>
        <w:tc>
          <w:tcPr>
            <w:tcW w:type="dxa" w:w="3360"/>
          </w:tcPr>
          <w:p>
            <w:r>
              <w:t>Defined; calibration pending</w:t>
            </w:r>
          </w:p>
        </w:tc>
        <w:tc>
          <w:tcPr>
            <w:tcW w:type="dxa" w:w="3360"/>
          </w:tcPr>
          <w:p>
            <w:r>
              <w:t>C/D/E expected to be material in transaction-only MVP; empirical grade distribution still required</w:t>
            </w:r>
          </w:p>
        </w:tc>
      </w:tr>
      <w:tr>
        <w:tc>
          <w:tcPr>
            <w:tcW w:type="dxa" w:w="3360"/>
          </w:tcPr>
          <w:p>
            <w:r>
              <w:t>Anti-double-counting / residual spend</w:t>
            </w:r>
          </w:p>
        </w:tc>
        <w:tc>
          <w:tcPr>
            <w:tcW w:type="dxa" w:w="3360"/>
          </w:tcPr>
          <w:p>
            <w:r>
              <w:t>Defined</w:t>
            </w:r>
          </w:p>
        </w:tc>
        <w:tc>
          <w:tcPr>
            <w:tcW w:type="dxa" w:w="3360"/>
          </w:tcPr>
          <w:p>
            <w:r>
              <w:t>Each purchase represented once; upgraded activity/product estimates excluded from residual spend</w:t>
            </w:r>
          </w:p>
        </w:tc>
      </w:tr>
      <w:tr>
        <w:tc>
          <w:tcPr>
            <w:tcW w:type="dxa" w:w="3360"/>
          </w:tcPr>
          <w:p>
            <w:r>
              <w:t>Quantitative uncertainty</w:t>
            </w:r>
          </w:p>
        </w:tc>
        <w:tc>
          <w:tcPr>
            <w:tcW w:type="dxa" w:w="3360"/>
          </w:tcPr>
          <w:p>
            <w:r>
              <w:t>Architecture required</w:t>
            </w:r>
          </w:p>
        </w:tc>
        <w:tc>
          <w:tcPr>
            <w:tcW w:type="dxa" w:w="3360"/>
          </w:tcPr>
          <w:p>
            <w:r>
              <w:t>Do not invent numeric bands before category-specific calibration</w:t>
            </w:r>
          </w:p>
        </w:tc>
      </w:tr>
      <w:tr>
        <w:tc>
          <w:tcPr>
            <w:tcW w:type="dxa" w:w="3360"/>
          </w:tcPr>
          <w:p>
            <w:r>
              <w:t>External benchmarking</w:t>
            </w:r>
          </w:p>
        </w:tc>
        <w:tc>
          <w:tcPr>
            <w:tcW w:type="dxa" w:w="3360"/>
          </w:tcPr>
          <w:p>
            <w:r>
              <w:t>Pending</w:t>
            </w:r>
          </w:p>
        </w:tc>
        <w:tc>
          <w:tcPr>
            <w:tcW w:type="dxa" w:w="3360"/>
          </w:tcPr>
          <w:p>
            <w:r>
              <w:t>Boundary-aware comparison required before stronger validation claims</w:t>
            </w:r>
          </w:p>
        </w:tc>
      </w:tr>
    </w:tbl>
    <w:p>
      <w:r>
        <w:br w:type="page"/>
      </w:r>
    </w:p>
    <w:p>
      <w:pPr>
        <w:pStyle w:val="Heading1"/>
      </w:pPr>
      <w:r>
        <w:t>15. Revision Note — v1.1</w:t>
      </w:r>
    </w:p>
    <w:p>
      <w:r>
        <w:t>Version 1.1 incorporates technical/LCA review findings concerning realistic transaction-data quality, anti-double-counting, residual-spend accounting, CPI limitations and factor staleness, electricity accounting disclosure, aviation non-CO₂ treatment, product-comparison restrictions, uncertainty, confidence calibration, historical-factor reproducibility, independent-review governance and external benchmarking. These revisions strengthen controls without changing the document's scientific-status claim: the methodology remains a draft for independent review and is not certified.</w:t>
      </w:r>
    </w:p>
    <w:p>
      <w:pPr>
        <w:pStyle w:val="Heading1"/>
      </w:pPr>
      <w:r>
        <w:t>References</w:t>
      </w:r>
    </w:p>
    <w:p>
      <w:r>
        <w:t xml:space="preserve">[1] </w:t>
      </w:r>
      <w:r>
        <w:t xml:space="preserve">CBS (2026), “Verschillen in de broeikasgasvoetafdruk van Nederlandse huishoudens – 3. Methode.” </w:t>
      </w:r>
      <w:hyperlink r:id="rId9">
        <w:r>
          <w:rPr>
            <w:color w:val="0563C1"/>
            <w:u w:val="single"/>
          </w:rPr>
          <w:t>https://www.cbs.nl/nl-nl/longread/rapportages/2026/verschillen-in-de-broeikasgasvoetafdruk-van-nederlandse-huishoudens/3-methode</w:t>
        </w:r>
      </w:hyperlink>
    </w:p>
    <w:p>
      <w:r>
        <w:t xml:space="preserve">[2] </w:t>
      </w:r>
      <w:r>
        <w:t xml:space="preserve">CBS (2026), “Verschillen in de broeikasgasvoetafdruk van Nederlandse huishoudens.” </w:t>
      </w:r>
      <w:hyperlink r:id="rId10">
        <w:r>
          <w:rPr>
            <w:color w:val="0563C1"/>
            <w:u w:val="single"/>
          </w:rPr>
          <w:t>https://www.cbs.nl/nl-nl/longread/rapportages/2026/verschillen-in-de-broeikasgasvoetafdruk-van-nederlandse-huishoudens?onepage=true</w:t>
        </w:r>
      </w:hyperlink>
    </w:p>
    <w:p>
      <w:r>
        <w:t xml:space="preserve">[3] </w:t>
      </w:r>
      <w:r>
        <w:t xml:space="preserve">GHG Protocol, Scope 3 Calculation Guidance. </w:t>
      </w:r>
      <w:hyperlink r:id="rId11">
        <w:r>
          <w:rPr>
            <w:color w:val="0563C1"/>
            <w:u w:val="single"/>
          </w:rPr>
          <w:t>https://ghgprotocol.org/scope-3-calculation-guidance-2</w:t>
        </w:r>
      </w:hyperlink>
    </w:p>
    <w:p>
      <w:r>
        <w:t xml:space="preserve">[4] </w:t>
      </w:r>
      <w:r>
        <w:t xml:space="preserve">GHG Protocol, Scope 3 Frequently Asked Questions. </w:t>
      </w:r>
      <w:hyperlink r:id="rId12">
        <w:r>
          <w:rPr>
            <w:color w:val="0563C1"/>
            <w:u w:val="single"/>
          </w:rPr>
          <w:t>https://ghgprotocol.org/scope-3-frequently-asked-questions-0</w:t>
        </w:r>
      </w:hyperlink>
    </w:p>
    <w:p>
      <w:r>
        <w:t xml:space="preserve">[5] </w:t>
      </w:r>
      <w:r>
        <w:t xml:space="preserve">CBS (2026), “Consumer price index from 2026” / ECOICOPv2 recoding and 2025=100 base. </w:t>
      </w:r>
      <w:hyperlink r:id="rId13">
        <w:r>
          <w:rPr>
            <w:color w:val="0563C1"/>
            <w:u w:val="single"/>
          </w:rPr>
          <w:t>https://www.cbs.nl/en-gb/longread/rapportages/2026/consumer-price-index-from-2026?onepage=true</w:t>
        </w:r>
      </w:hyperlink>
    </w:p>
    <w:p>
      <w:r>
        <w:t xml:space="preserve">[6] </w:t>
      </w:r>
      <w:r>
        <w:t xml:space="preserve">CO₂-emissiefactoren.nl, Personenvervoer 2026. </w:t>
      </w:r>
      <w:hyperlink r:id="rId14">
        <w:r>
          <w:rPr>
            <w:color w:val="0563C1"/>
            <w:u w:val="single"/>
          </w:rPr>
          <w:t>https://co2emissiefactoren.nl/factoren/2026/13/personenvervoer/</w:t>
        </w:r>
      </w:hyperlink>
    </w:p>
    <w:p>
      <w:r>
        <w:t xml:space="preserve">[7] </w:t>
      </w:r>
      <w:r>
        <w:t xml:space="preserve">CO₂-emissiefactoren.nl, Benzine E10 2026. </w:t>
      </w:r>
      <w:hyperlink r:id="rId15">
        <w:r>
          <w:rPr>
            <w:color w:val="0563C1"/>
            <w:u w:val="single"/>
          </w:rPr>
          <w:t>https://co2emissiefactoren.nl/factoren/2026/30/66/brandstoffen-voertuigen-en-schepen-fossiele-brandstoffen-met-bio-bijmenging-benzine-e10/</w:t>
        </w:r>
      </w:hyperlink>
    </w:p>
    <w:p>
      <w:r>
        <w:t xml:space="preserve">[8] </w:t>
      </w:r>
      <w:r>
        <w:t xml:space="preserve">CO₂-emissiefactoren.nl, Diesel B7 2026. </w:t>
      </w:r>
      <w:hyperlink r:id="rId16">
        <w:r>
          <w:rPr>
            <w:color w:val="0563C1"/>
            <w:u w:val="single"/>
          </w:rPr>
          <w:t>https://co2emissiefactoren.nl/factoren/2026/30/67/brandstoffen-voertuigen-en-schepen-fossiele-brandstoffen-met-bio-bijmenging-diesel-b7/</w:t>
        </w:r>
      </w:hyperlink>
    </w:p>
    <w:p>
      <w:r>
        <w:t xml:space="preserve">[9] </w:t>
      </w:r>
      <w:r>
        <w:t xml:space="preserve">CO₂-emissiefactoren.nl, Electricity 2026 / unknown source grid mix. </w:t>
      </w:r>
      <w:hyperlink r:id="rId17">
        <w:r>
          <w:rPr>
            <w:color w:val="0563C1"/>
            <w:u w:val="single"/>
          </w:rPr>
          <w:t>https://co2emissiefactoren.nl/factoren/2026/11/elektriciteit/?unit=kwh</w:t>
        </w:r>
      </w:hyperlink>
    </w:p>
    <w:p>
      <w:r>
        <w:t xml:space="preserve">[10] </w:t>
      </w:r>
      <w:r>
        <w:t xml:space="preserve">CO₂-emissiefactoren.nl, Energy-generation fuels 2026 / natural gas G-gas. </w:t>
      </w:r>
      <w:hyperlink r:id="rId18">
        <w:r>
          <w:rPr>
            <w:color w:val="0563C1"/>
            <w:u w:val="single"/>
          </w:rPr>
          <w:t>https://co2emissiefactoren.nl/factoren/2026/10/brandstoffen-energieopwekking/</w:t>
        </w:r>
      </w:hyperlink>
    </w:p>
    <w:p>
      <w:r>
        <w:t xml:space="preserve">[11] </w:t>
      </w:r>
      <w:r>
        <w:t xml:space="preserve">RIVM, “The environmental impact of food products,” Database Milieubelasting Voedingsmiddelen 2024, published 30 March 2026. </w:t>
      </w:r>
      <w:hyperlink r:id="rId19">
        <w:r>
          <w:rPr>
            <w:color w:val="0563C1"/>
            <w:u w:val="single"/>
          </w:rPr>
          <w:t>https://www.rivm.nl/en/food-and-nutrition/sustainable-food/environmental-impact-of-food-products</w:t>
        </w:r>
      </w:hyperlink>
    </w:p>
    <w:p>
      <w:r>
        <w:t xml:space="preserve">[12] </w:t>
      </w:r>
      <w:r>
        <w:t xml:space="preserve">European Commission (2025), “New EU rules for measuring environmental impact of clothes and shoes.” </w:t>
      </w:r>
      <w:hyperlink r:id="rId20">
        <w:r>
          <w:rPr>
            <w:color w:val="0563C1"/>
            <w:u w:val="single"/>
          </w:rPr>
          <w:t>https://environment.ec.europa.eu/news/new-eu-rules-measuring-environmental-impact-clothes-and-shoes-2025-06-25_en</w:t>
        </w:r>
      </w:hyperlink>
    </w:p>
    <w:p>
      <w:r>
        <w:t xml:space="preserve">[13] </w:t>
      </w:r>
      <w:r>
        <w:t xml:space="preserve">European Commission (2021), Recommendation on the use of Environmental Footprint methods. </w:t>
      </w:r>
      <w:hyperlink r:id="rId21">
        <w:r>
          <w:rPr>
            <w:color w:val="0563C1"/>
            <w:u w:val="single"/>
          </w:rPr>
          <w:t>https://environment.ec.europa.eu/publications/recommendation-use-environmental-footprint-methods_en</w:t>
        </w:r>
      </w:hyperlink>
    </w:p>
    <w:p>
      <w:r>
        <w:t xml:space="preserve">[14] </w:t>
      </w:r>
      <w:r>
        <w:t xml:space="preserve">CBS StatLine, “Bestedingen van huishoudens; bestedingscategorieën” (2020 expenditure data). </w:t>
      </w:r>
      <w:hyperlink r:id="rId22">
        <w:r>
          <w:rPr>
            <w:color w:val="0563C1"/>
            <w:u w:val="single"/>
          </w:rPr>
          <w:t>https://www.cbs.nl/nl-nl/cijfers/detail/83676NED</w:t>
        </w:r>
      </w:hyperlink>
    </w:p>
    <w:p>
      <w:r>
        <w:t xml:space="preserve">[15] </w:t>
      </w:r>
      <w:r>
        <w:t xml:space="preserve">CO₂-emissiefactoren.nl, Downloads and change history, 2015–2026. </w:t>
      </w:r>
      <w:hyperlink r:id="rId23">
        <w:r>
          <w:rPr>
            <w:color w:val="0563C1"/>
            <w:u w:val="single"/>
          </w:rPr>
          <w:t>https://co2emissiefactoren.nl/downloads/</w:t>
        </w:r>
      </w:hyperlink>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173C32"/>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E6B57"/>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b/>
      <w:bCs/>
      <w:color w:val="2E6B5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C32"/>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val="0"/>
      <w:i/>
      <w:iCs/>
      <w:color w:val="5F6B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cbs.nl/nl-nl/longread/rapportages/2026/verschillen-in-de-broeikasgasvoetafdruk-van-nederlandse-huishoudens/3-methode" TargetMode="External"/><Relationship Id="rId10" Type="http://schemas.openxmlformats.org/officeDocument/2006/relationships/hyperlink" Target="https://www.cbs.nl/nl-nl/longread/rapportages/2026/verschillen-in-de-broeikasgasvoetafdruk-van-nederlandse-huishoudens?onepage=true" TargetMode="External"/><Relationship Id="rId11" Type="http://schemas.openxmlformats.org/officeDocument/2006/relationships/hyperlink" Target="https://ghgprotocol.org/scope-3-calculation-guidance-2" TargetMode="External"/><Relationship Id="rId12" Type="http://schemas.openxmlformats.org/officeDocument/2006/relationships/hyperlink" Target="https://ghgprotocol.org/scope-3-frequently-asked-questions-0" TargetMode="External"/><Relationship Id="rId13" Type="http://schemas.openxmlformats.org/officeDocument/2006/relationships/hyperlink" Target="https://www.cbs.nl/en-gb/longread/rapportages/2026/consumer-price-index-from-2026?onepage=true" TargetMode="External"/><Relationship Id="rId14" Type="http://schemas.openxmlformats.org/officeDocument/2006/relationships/hyperlink" Target="https://co2emissiefactoren.nl/factoren/2026/13/personenvervoer/" TargetMode="External"/><Relationship Id="rId15" Type="http://schemas.openxmlformats.org/officeDocument/2006/relationships/hyperlink" Target="https://co2emissiefactoren.nl/factoren/2026/30/66/brandstoffen-voertuigen-en-schepen-fossiele-brandstoffen-met-bio-bijmenging-benzine-e10/" TargetMode="External"/><Relationship Id="rId16" Type="http://schemas.openxmlformats.org/officeDocument/2006/relationships/hyperlink" Target="https://co2emissiefactoren.nl/factoren/2026/30/67/brandstoffen-voertuigen-en-schepen-fossiele-brandstoffen-met-bio-bijmenging-diesel-b7/" TargetMode="External"/><Relationship Id="rId17" Type="http://schemas.openxmlformats.org/officeDocument/2006/relationships/hyperlink" Target="https://co2emissiefactoren.nl/factoren/2026/11/elektriciteit/?unit=kwh" TargetMode="External"/><Relationship Id="rId18" Type="http://schemas.openxmlformats.org/officeDocument/2006/relationships/hyperlink" Target="https://co2emissiefactoren.nl/factoren/2026/10/brandstoffen-energieopwekking/" TargetMode="External"/><Relationship Id="rId19" Type="http://schemas.openxmlformats.org/officeDocument/2006/relationships/hyperlink" Target="https://www.rivm.nl/en/food-and-nutrition/sustainable-food/environmental-impact-of-food-products" TargetMode="External"/><Relationship Id="rId20" Type="http://schemas.openxmlformats.org/officeDocument/2006/relationships/hyperlink" Target="https://environment.ec.europa.eu/news/new-eu-rules-measuring-environmental-impact-clothes-and-shoes-2025-06-25_en" TargetMode="External"/><Relationship Id="rId21" Type="http://schemas.openxmlformats.org/officeDocument/2006/relationships/hyperlink" Target="https://environment.ec.europa.eu/publications/recommendation-use-environmental-footprint-methods_en" TargetMode="External"/><Relationship Id="rId22" Type="http://schemas.openxmlformats.org/officeDocument/2006/relationships/hyperlink" Target="https://www.cbs.nl/nl-nl/cijfers/detail/83676NED" TargetMode="External"/><Relationship Id="rId23" Type="http://schemas.openxmlformats.org/officeDocument/2006/relationships/hyperlink" Target="https://co2emissiefactoren.nl/downlo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