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center"/>
      </w:pPr>
      <w:r>
        <w:rPr>
          <w:rFonts w:ascii="Arial" w:hAnsi="Arial"/>
          <w:b/>
          <w:color w:val="2E6B57"/>
          <w:sz w:val="64"/>
        </w:rPr>
        <w:t>NULA</w:t>
      </w:r>
    </w:p>
    <w:p>
      <w:pPr>
        <w:jc w:val="center"/>
      </w:pPr>
      <w:r>
        <w:rPr>
          <w:b/>
          <w:color w:val="173C32"/>
          <w:sz w:val="44"/>
        </w:rPr>
        <w:t>Carbon Factor Master Library</w:t>
      </w:r>
    </w:p>
    <w:p>
      <w:pPr>
        <w:jc w:val="center"/>
      </w:pPr>
      <w:r>
        <w:rPr>
          <w:color w:val="5F6B66"/>
          <w:sz w:val="22"/>
        </w:rPr>
        <w:t>Controlled factor register, provenance rules and production-status classification</w:t>
      </w:r>
    </w:p>
    <w:p>
      <w:pPr>
        <w:spacing w:before="500"/>
        <w:jc w:val="center"/>
      </w:pPr>
      <w:r>
        <w:t>Version 1.1 — Revised Draft for Independent Review</w:t>
        <w:br/>
        <w:t>23 August 2026</w:t>
      </w:r>
    </w:p>
    <w:p>
      <w:pPr>
        <w:spacing w:before="600"/>
        <w:jc w:val="center"/>
      </w:pPr>
      <w:r>
        <w:t>Scientific status: scientifically grounded factor register aligned to Nula Carbon Calculation Methodology Statement v1.1; revised following technical/LCA review; not independently validated, assured or certified.</w:t>
      </w:r>
    </w:p>
    <w:p>
      <w:r>
        <w:br w:type="page"/>
      </w:r>
    </w:p>
    <w:p>
      <w:pPr>
        <w:pStyle w:val="Heading1"/>
      </w:pPr>
      <w:r>
        <w:t>Document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EAF4E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Document owner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Nula</w:t>
            </w:r>
          </w:p>
        </w:tc>
      </w:tr>
      <w:tr>
        <w:tc>
          <w:tcPr>
            <w:tcW w:type="dxa" w:w="5040"/>
            <w:shd w:fill="EAF4E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Version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1.1</w:t>
            </w:r>
          </w:p>
        </w:tc>
      </w:tr>
      <w:tr>
        <w:tc>
          <w:tcPr>
            <w:tcW w:type="dxa" w:w="5040"/>
            <w:shd w:fill="EAF4E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Status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Revised draft for independent technical/LCA review</w:t>
            </w:r>
          </w:p>
        </w:tc>
      </w:tr>
      <w:tr>
        <w:tc>
          <w:tcPr>
            <w:tcW w:type="dxa" w:w="5040"/>
            <w:shd w:fill="EAF4E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Effective date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23 August 2026</w:t>
            </w:r>
          </w:p>
        </w:tc>
      </w:tr>
      <w:tr>
        <w:tc>
          <w:tcPr>
            <w:tcW w:type="dxa" w:w="5040"/>
            <w:shd w:fill="EAF4EF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Review cycle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At least annually; on material source/method change; and before a fallback intensity exceeds its defined re-derivation limit</w:t>
            </w:r>
          </w:p>
        </w:tc>
      </w:tr>
    </w:tbl>
    <w:p>
      <w:r>
        <w:rPr>
          <w:b/>
        </w:rPr>
        <w:t xml:space="preserve">Important limitation. </w:t>
      </w:r>
      <w:r>
        <w:t>This document defines the intended calculation and governance methodology for Nula. It does not constitute assurance, certification, a regulatory inventory, or a claim that every current production factor has been independently validated. Results must be presented as estimates unless a separately verified calculation supports a stronger claim.</w:t>
      </w:r>
    </w:p>
    <w:p>
      <w:pPr>
        <w:pStyle w:val="Heading1"/>
      </w:pPr>
      <w:r>
        <w:t>1. Purpose</w:t>
      </w:r>
    </w:p>
    <w:p>
      <w:r>
        <w:t>This library is the controlled register of emission factors and fallback intensities authorised for Nula calculations. A factor is not production-ready merely because it is present in this document: each row carries a source class, confidence grade and production status.</w:t>
      </w:r>
    </w:p>
    <w:p>
      <w:pPr/>
      <w:r>
        <w:t>v1.1 control principle: the library records not only a central factor value but also the evidence needed to interpret it safely — method grade, uncertainty status, source/version, validity, boundary, and any special treatment such as aviation non-CO₂ effects. A factor can be numerically correct yet unsuitable for a specific transaction if those conditions are not met.</w:t>
      </w:r>
    </w:p>
    <w:p>
      <w:pPr/>
      <w:r>
        <w:t>Transaction-led reality: because bank/card data rarely contain litres, kWh, passenger-kilometres or item quantities, Grade C/D/E factors are expected to be materially represented in the MVP. Nula will measure the actual grade distribution on representative Dutch transaction data rather than assume it.</w:t>
      </w:r>
    </w:p>
    <w:p>
      <w:pPr>
        <w:pStyle w:val="Heading1"/>
      </w:pPr>
      <w:r>
        <w:t>2. Required Factor Metadata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50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Field</w:t>
            </w:r>
          </w:p>
        </w:tc>
        <w:tc>
          <w:tcPr>
            <w:tcW w:type="dxa" w:w="50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Requirement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factor_id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Stable unique identifier; never reused for a materially different factor.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activity_or_category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Physical activity, product class or spend category.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factor_value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Numeric emission intensity.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unit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e.g. kg CO₂e/L, kg CO₂e/kWh, kg CO₂e/pkm, kg CO₂e/€reference-year.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boundary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WTW, TTW, WTT, cradle-to-retail, supply-chain/EEIO, etc.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geography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NL, EU or other applicable scope.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reference_year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Year/version to which the factor applies.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source_name + URL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Human-readable provenance and source URL.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methodology_type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authoritative_activity, product_LCA, detailed_spend, derived_spend_fallback, generic_fallback, placeholder_dev.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confidence_grade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A, B, C, D, E or X.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is_active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Whether the factor is eligible for new calculations.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valid_from / valid_to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Controlled effective dates.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notes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Important assumptions, caveats or source-specific guidance.</w:t>
            </w:r>
          </w:p>
        </w:tc>
      </w:tr>
      <w:tr>
        <w:tc>
          <w:tcPr>
            <w:tcW w:type="dxa" w:w="5040"/>
          </w:tcPr>
          <w:p>
            <w:r>
              <w:t>source_version_or_publication</w:t>
            </w:r>
          </w:p>
        </w:tc>
        <w:tc>
          <w:tcPr>
            <w:tcW w:type="dxa" w:w="5040"/>
          </w:tcPr>
          <w:p>
            <w:r>
              <w:t>Source publication/version/date sufficient to reproduce the factor.</w:t>
            </w:r>
          </w:p>
        </w:tc>
      </w:tr>
      <w:tr>
        <w:tc>
          <w:tcPr>
            <w:tcW w:type="dxa" w:w="5040"/>
          </w:tcPr>
          <w:p>
            <w:r>
              <w:t>uncertainty_status</w:t>
            </w:r>
          </w:p>
        </w:tc>
        <w:tc>
          <w:tcPr>
            <w:tcW w:type="dxa" w:w="5040"/>
          </w:tcPr>
          <w:p>
            <w:r>
              <w:t>Quantified interval/range where supported; otherwise 'not quantified'. Never invent a numeric band.</w:t>
            </w:r>
          </w:p>
        </w:tc>
      </w:tr>
      <w:tr>
        <w:tc>
          <w:tcPr>
            <w:tcW w:type="dxa" w:w="5040"/>
          </w:tcPr>
          <w:p>
            <w:r>
              <w:t>special_treatment</w:t>
            </w:r>
          </w:p>
        </w:tc>
        <w:tc>
          <w:tcPr>
            <w:tcW w:type="dxa" w:w="5040"/>
          </w:tcPr>
          <w:p>
            <w:r>
              <w:t>Material methodological treatment, e.g. aviation non-CO₂ uplift or electricity contractual basis.</w:t>
            </w:r>
          </w:p>
        </w:tc>
      </w:tr>
      <w:tr>
        <w:tc>
          <w:tcPr>
            <w:tcW w:type="dxa" w:w="5040"/>
          </w:tcPr>
          <w:p>
            <w:r>
              <w:t>rederive_by</w:t>
            </w:r>
          </w:p>
        </w:tc>
        <w:tc>
          <w:tcPr>
            <w:tcW w:type="dxa" w:w="5040"/>
          </w:tcPr>
          <w:p>
            <w:r>
              <w:t>Latest date/year for mandatory suitability review or re-derivation of Nula-derived spend factors.</w:t>
            </w:r>
          </w:p>
        </w:tc>
      </w:tr>
      <w:tr>
        <w:tc>
          <w:tcPr>
            <w:tcW w:type="dxa" w:w="5040"/>
          </w:tcPr>
          <w:p>
            <w:r>
              <w:t>supersedes / superseded_by</w:t>
            </w:r>
          </w:p>
        </w:tc>
        <w:tc>
          <w:tcPr>
            <w:tcW w:type="dxa" w:w="5040"/>
          </w:tcPr>
          <w:p>
            <w:r>
              <w:t>Links factor lineage without overwriting historical records.</w:t>
            </w:r>
          </w:p>
        </w:tc>
      </w:tr>
    </w:tbl>
    <w:p>
      <w:pPr>
        <w:pStyle w:val="Heading1"/>
      </w:pPr>
      <w:r>
        <w:t>3. Authoritative Dutch Activity Factors — 2026</w:t>
      </w:r>
    </w:p>
    <w:p>
      <w:pPr>
        <w:pStyle w:val="Heading1"/>
      </w:pPr>
      <w:r>
        <w:t>Aviation disclosure: the European 700–2,500 km factor is 0.172 kg CO₂e/passenger-km. The source explicitly includes non-CO₂ effects and states a mean uplift factor of 0.7 over direct CO₂. This treatment is a material part of the source factor and must travel with the calculation record; it is not a generic Nula multiplier.</w:t>
      </w:r>
    </w:p>
    <w:p>
      <w:pPr>
        <w:pStyle w:val="Heading1"/>
      </w:pPr>
      <w:r>
        <w:t>Electricity disclosure: the 0.244 kg CO₂e/kWh unknown-source factor is explicitly described by the source as grid mix / location based. Source-specific green electricity and Guarantees of Origin require separate evidence and treatment; Nula must not automatically convert a green-contract claim to zero.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</w:tblGrid>
      <w:tr>
        <w:trPr>
          <w:tblHeader w:val="true"/>
        </w:trPr>
        <w:tc>
          <w:tcPr>
            <w:tcW w:type="dxa" w:w="1008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Factor ID</w:t>
            </w:r>
          </w:p>
        </w:tc>
        <w:tc>
          <w:tcPr>
            <w:tcW w:type="dxa" w:w="1008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Activity</w:t>
            </w:r>
          </w:p>
        </w:tc>
        <w:tc>
          <w:tcPr>
            <w:tcW w:type="dxa" w:w="1008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Value</w:t>
            </w:r>
          </w:p>
        </w:tc>
        <w:tc>
          <w:tcPr>
            <w:tcW w:type="dxa" w:w="1008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Unit</w:t>
            </w:r>
          </w:p>
        </w:tc>
        <w:tc>
          <w:tcPr>
            <w:tcW w:type="dxa" w:w="1008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Boundary</w:t>
            </w:r>
          </w:p>
        </w:tc>
        <w:tc>
          <w:tcPr>
            <w:tcW w:type="dxa" w:w="1008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Geo</w:t>
            </w:r>
          </w:p>
        </w:tc>
        <w:tc>
          <w:tcPr>
            <w:tcW w:type="dxa" w:w="1008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Year</w:t>
            </w:r>
          </w:p>
        </w:tc>
        <w:tc>
          <w:tcPr>
            <w:tcW w:type="dxa" w:w="1008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Source</w:t>
            </w:r>
          </w:p>
        </w:tc>
        <w:tc>
          <w:tcPr>
            <w:tcW w:type="dxa" w:w="1008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Grade</w:t>
            </w:r>
          </w:p>
        </w:tc>
        <w:tc>
          <w:tcPr>
            <w:tcW w:type="dxa" w:w="1008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Status</w:t>
            </w:r>
          </w:p>
        </w:tc>
      </w:tr>
      <w:tr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NL-FUEL-E10-2026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Petrol E10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2.794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kg CO₂e/litre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WTW (TTW 2.139 + WTT 0.655)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CO₂-emissiefactoren.nl / CE Delft STREAM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A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Production candidate</w:t>
            </w:r>
          </w:p>
        </w:tc>
      </w:tr>
      <w:tr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NL-FUEL-DIESEL-B7-2026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Diesel B7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3.251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kg CO₂e/litre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WTW (TTW 2.462 + WTT 0.788)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CO₂-emissiefactoren.nl / CE Delft STREAM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A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Production candidate</w:t>
            </w:r>
          </w:p>
        </w:tc>
      </w:tr>
      <w:tr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NL-CAR-AVG-2026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Average car, fuel unknown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0.190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kg CO₂e/vehicle-km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WTW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CO₂-emissiefactoren.nl / CE Delft STREAM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A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Production candidate when actual fuel is unavailable</w:t>
            </w:r>
          </w:p>
        </w:tc>
      </w:tr>
      <w:tr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NL-OV-AVG-2026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Public transport average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0.036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kg CO₂e/passenger-km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WTW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CO₂-emissiefactoren.nl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A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Production candidate</w:t>
            </w:r>
          </w:p>
        </w:tc>
      </w:tr>
      <w:tr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NL-TRAIN-ELECTRIC-2026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Electric train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0.019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kg CO₂e/passenger-km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WTW (WTT 0.019)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CO₂-emissiefactoren.nl / CE Delft STREAM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A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Production candidate; changed materially from earlier years</w:t>
            </w:r>
          </w:p>
        </w:tc>
      </w:tr>
      <w:tr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NL-FLIGHT-EU-2026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Flight, European 700–2,500 km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0.172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kg CO₂e/passenger-km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WTW; published value includes aviation non-CO₂ climate effects. Source states a mean uplift factor of 0.7 over direct CO₂; published WTW 0.172, TTW 0.152, WTT 0.021 kg CO₂e/pkm.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 methodology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2026 listing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CO₂-emissiefactoren.nl; Milieu Centraal 2022; CE Delft ANCO 2023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A/B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Conditional production candidate; route distance required; disclose non-CO₂ treatment; do not imply comparability where another calculator uses different aviation treatment</w:t>
            </w:r>
          </w:p>
        </w:tc>
      </w:tr>
      <w:tr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NL-ELEC-GRID-2026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Electricity, source unknown/grid mix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0.244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kg CO₂e/kWh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Unknown-source grid mix / location-based factor; production + upstream energy chain; infrastructure separately reported by source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CO₂-emissiefactoren.nl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A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Production candidate only when source cannot be established; not a market-based contractual electricity result</w:t>
            </w:r>
          </w:p>
        </w:tc>
      </w:tr>
      <w:tr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NL-ELEC-GREY-2026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Grey electricity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0.483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kg CO₂e/kWh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Production + upstream energy chain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CO₂-emissiefactoren.nl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A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Production candidate when grey electricity applies; supplier electricity-label data require appropriate upstream-chain treatment</w:t>
            </w:r>
          </w:p>
        </w:tc>
      </w:tr>
      <w:tr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NL-GAS-G-2026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Natural gas (G-gas)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2.134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kg CO₂e/Nm³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WTW (TTW 1.779 + WTT 0.355)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2026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CO₂-emissiefactoren.nl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A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Production candidate</w:t>
            </w:r>
          </w:p>
        </w:tc>
      </w:tr>
    </w:tbl>
    <w:p>
      <w:r>
        <w:t>Application rule: prefer actual physical fuel/electricity use over generic vehicle-distance or spend proxies when those physical data are available. The Dutch transport source explicitly states that actual fuel/electricity use is more accurate. [1]</w:t>
      </w:r>
    </w:p>
    <w:p>
      <w:pPr>
        <w:pStyle w:val="Heading1"/>
      </w:pPr>
      <w:r>
        <w:t>4. Product/LCA Data Sources</w:t>
      </w:r>
    </w:p>
    <w:p>
      <w:pPr>
        <w:pStyle w:val="Heading1"/>
      </w:pPr>
      <w:r>
        <w:t>Use restriction: where a source has not undergone the critical review required for comparative assertions, its product-level values may support estimation within stated limitations but must not be used by Nula to make or imply unsupported head-to-head environmental superiority rankings.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blHeader w:val="true"/>
        </w:trPr>
        <w:tc>
          <w:tcPr>
            <w:tcW w:type="dxa" w:w="14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Library entry</w:t>
            </w:r>
          </w:p>
        </w:tc>
        <w:tc>
          <w:tcPr>
            <w:tcW w:type="dxa" w:w="14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Coverage</w:t>
            </w:r>
          </w:p>
        </w:tc>
        <w:tc>
          <w:tcPr>
            <w:tcW w:type="dxa" w:w="14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Factor format</w:t>
            </w:r>
          </w:p>
        </w:tc>
        <w:tc>
          <w:tcPr>
            <w:tcW w:type="dxa" w:w="14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Source</w:t>
            </w:r>
          </w:p>
        </w:tc>
        <w:tc>
          <w:tcPr>
            <w:tcW w:type="dxa" w:w="14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Geo</w:t>
            </w:r>
          </w:p>
        </w:tc>
        <w:tc>
          <w:tcPr>
            <w:tcW w:type="dxa" w:w="14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Grade</w:t>
            </w:r>
          </w:p>
        </w:tc>
        <w:tc>
          <w:tcPr>
            <w:tcW w:type="dxa" w:w="14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Status / condition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RIVM-FOOD-2024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Generic food products (~400)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Product-specific kg CO₂e per functional unit as provided in source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RIVM Database Milieubelasting Voedingsmiddelen 2024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 consumption context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B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Eligible after item mapping; preserve RIVM disclaimer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EU-PEF-APPAREL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Apparel &amp; footwear methodology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No universal fixed factor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EU PEF / 2025 apparel-footwear PEFCR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EU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B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Methodological framework; requires suitable lifecycle inventory/product data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EU-PEF-GENERAL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Product Environmental Footprint methodology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No universal fixed factor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European Commission Environmental Footprint Recommendation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EU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B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Methodological framework</w:t>
            </w:r>
          </w:p>
        </w:tc>
      </w:tr>
    </w:tbl>
    <w:p>
      <w:pPr>
        <w:pStyle w:val="Heading1"/>
      </w:pPr>
      <w:r>
        <w:t>5. Nula-derived Broad Spend Fallbacks — Reference Year 2020</w:t>
      </w:r>
    </w:p>
    <w:p>
      <w:r>
        <w:t>The following ratios are calculated by Nula from CBS 2020 average household footprint divided by CBS 2020 average household expenditure. They are screening fallbacks, not official CBS-published emission coefficients. They require price-year adjustment before application to another nominal year. [2][3]</w:t>
      </w:r>
    </w:p>
    <w:p>
      <w:pPr/>
      <w:r>
        <w:t>v1.1 staleness control: CPI adjustment does not refresh the underlying physical carbon intensity. Nula-derived broad ratios must be formally reviewed at least annually and re-derived when materially newer compatible data become available. Under Methodology v1.1, a ratio whose reference dataset is more than five calendar years older than the transaction year cannot be used as a normal production factor without documented reviewer approval; otherwise it is downgraded to Grade E or withheld.</w:t>
      </w:r>
    </w:p>
    <w:p>
      <w:pPr/>
      <w:r>
        <w:t>Consequently, for 2026 transactions the 2020 broad ratios below are retained for lineage, testing and screening, but are not normal Grade-D production factors. They are marked Grade E / re-derivation required pending a newer compatible derivation or documented reviewer approval.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blHeader w:val="true"/>
        </w:trPr>
        <w:tc>
          <w:tcPr>
            <w:tcW w:type="dxa" w:w="14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Factor ID</w:t>
            </w:r>
          </w:p>
        </w:tc>
        <w:tc>
          <w:tcPr>
            <w:tcW w:type="dxa" w:w="14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4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Value</w:t>
            </w:r>
          </w:p>
        </w:tc>
        <w:tc>
          <w:tcPr>
            <w:tcW w:type="dxa" w:w="14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Unit</w:t>
            </w:r>
          </w:p>
        </w:tc>
        <w:tc>
          <w:tcPr>
            <w:tcW w:type="dxa" w:w="14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Derivation</w:t>
            </w:r>
          </w:p>
        </w:tc>
        <w:tc>
          <w:tcPr>
            <w:tcW w:type="dxa" w:w="14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Grade</w:t>
            </w:r>
          </w:p>
        </w:tc>
        <w:tc>
          <w:tcPr>
            <w:tcW w:type="dxa" w:w="144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Status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NL-SPEND-FOOD-BROAD-2020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Food &amp; non-alcoholic beverages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0.667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kg CO₂e/€2020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CBS footprint 2,972 kg ÷ expenditure €4,458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E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2026: re-derivation required; lineage/screening only unless documented reviewer approval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NL-SPEND-TRANSPORT-BROAD-2020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Transport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0.714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kg CO₂e/€2020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2,824 ÷ 3,955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E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2026: re-derivation required; lineage/screening only unless documented reviewer approval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NL-SPEND-FURNISH-BROAD-2020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Furnishings &amp; household appliances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0.292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kg CO₂e/€2020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667 ÷ 2,282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E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2026: re-derivation required; lineage/screening only unless documented reviewer approval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NL-SPEND-HORECA-BROAD-2020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Restaurants &amp; hotels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0.311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kg CO₂e/€2020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513 ÷ 1,651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E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2026: re-derivation required; lineage/screening only unless documented reviewer approval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NL-SPEND-CLOTHING-BROAD-2020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Clothing &amp; footwear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0.222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kg CO₂e/€2020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310 ÷ 1,394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E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2026: re-derivation required; lineage/screening only unless documented reviewer approval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NL-SPEND-RECREATION-BROAD-2020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Recreation &amp; culture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0.231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kg CO₂e/€2020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699 ÷ 3,020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E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2026: re-derivation required; lineage/screening only unless documented reviewer approval</w:t>
            </w:r>
          </w:p>
        </w:tc>
      </w:tr>
    </w:tbl>
    <w:p>
      <w:pPr>
        <w:pStyle w:val="Heading1"/>
      </w:pPr>
      <w:r>
        <w:t>6. Price-Year Adjustment Rule for Spend Factors</w:t>
      </w:r>
    </w:p>
    <w:p>
      <w:pPr>
        <w:jc w:val="center"/>
      </w:pPr>
      <w:r>
        <w:rPr>
          <w:b/>
        </w:rPr>
        <w:t>Adjusted spend = Current spend × CPI(reference year, category) / CPI(transaction period, category)</w:t>
      </w:r>
    </w:p>
    <w:p>
      <w:pPr>
        <w:jc w:val="center"/>
      </w:pPr>
      <w:r>
        <w:rPr>
          <w:b/>
        </w:rPr>
        <w:t>Estimated CO₂e = Adjusted spend × Spend intensity(reference year)</w:t>
      </w:r>
    </w:p>
    <w:p>
      <w:r>
        <w:t>Use the most specific comparable CBS CPI/ECOICOPv2 series available. CBS reports that the 2025=100 series recodes 2010–2024 articles to ECOICOPv2 where possible. If only a broader comparable index is available, use it with reduced confidence; if no valid comparable index exists, do not manufacture a precise adjustment. [4]</w:t>
      </w:r>
    </w:p>
    <w:p>
      <w:pPr/>
      <w:r>
        <w:t>CPI changes the monetary reference basis only. It does not account for structural changes in grid mix, technology, fuel efficiency, supply chains or category composition. A CPI-adjusted old intensity therefore must not be represented as a newly observed carbon intensity.</w:t>
      </w:r>
    </w:p>
    <w:p>
      <w:pPr/>
      <w:r>
        <w:t>For each spend factor, store the CPI series identifier, reference period, transaction-period index, adjustment ratio and resulting adjusted spend so the calculation can be reproduced.</w:t>
      </w:r>
    </w:p>
    <w:p>
      <w:pPr>
        <w:pStyle w:val="Heading1"/>
      </w:pPr>
      <w:r>
        <w:t>7. Factor Selection Rules</w:t>
      </w:r>
    </w:p>
    <w:p>
      <w:pPr>
        <w:pStyle w:val="Heading1"/>
      </w:pPr>
      <w:r>
        <w:t>Anti-double-counting: each underlying purchase/expenditure amount contributes once. When activity/product evidence replaces a spend estimate, exclude that transaction from any overlapping residual spend pool.</w:t>
      </w:r>
    </w:p>
    <w:p>
      <w:pPr>
        <w:pStyle w:val="Heading1"/>
      </w:pPr>
      <w:r>
        <w:t>Residual-spend aggregation: apply broad/detailed spend factors only to expenditure not already represented by an activity or product/LCA calculation. Retain transaction ID, selected factor ID, superseded method (if any) and residual-allocation status.</w:t>
      </w:r>
    </w:p>
    <w:p>
      <w:pPr>
        <w:pStyle w:val="ListNumber"/>
      </w:pPr>
      <w:r>
        <w:t>Match geography and reference year first.</w:t>
      </w:r>
    </w:p>
    <w:p>
      <w:pPr>
        <w:pStyle w:val="ListNumber"/>
      </w:pPr>
      <w:r>
        <w:t>Prefer physical activity over expenditure when credible activity is available.</w:t>
      </w:r>
    </w:p>
    <w:p>
      <w:pPr>
        <w:pStyle w:val="ListNumber"/>
      </w:pPr>
      <w:r>
        <w:t>Prefer product/item lifecycle data over broad spend factors when the item is reliably identified.</w:t>
      </w:r>
    </w:p>
    <w:p>
      <w:pPr>
        <w:pStyle w:val="ListNumber"/>
      </w:pPr>
      <w:r>
        <w:t>Do not infer physical quantities (litres, km, kWh) solely from merchant identity or price unless the inference method and price data are separately documented and confidence is reduced.</w:t>
      </w:r>
    </w:p>
    <w:p>
      <w:pPr>
        <w:pStyle w:val="ListNumber"/>
      </w:pPr>
      <w:r>
        <w:t>Do not assign one product factor to a multi-category marketplace.</w:t>
      </w:r>
    </w:p>
    <w:p>
      <w:pPr>
        <w:pStyle w:val="ListNumber"/>
      </w:pPr>
      <w:r>
        <w:t>Use only one active factor for a given controlled factor version/key in a calculation context.</w:t>
      </w:r>
    </w:p>
    <w:p>
      <w:pPr>
        <w:pStyle w:val="ListNumber"/>
      </w:pPr>
      <w:r>
        <w:t>Retain historical factor IDs and results even after factors are superseded.</w:t>
      </w:r>
    </w:p>
    <w:p>
      <w:pPr>
        <w:pStyle w:val="Heading1"/>
      </w:pPr>
      <w:r>
        <w:t>8. Production Status and Gaps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blHeader w:val="true"/>
        </w:trPr>
        <w:tc>
          <w:tcPr>
            <w:tcW w:type="dxa" w:w="336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Domain</w:t>
            </w:r>
          </w:p>
        </w:tc>
        <w:tc>
          <w:tcPr>
            <w:tcW w:type="dxa" w:w="336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3360"/>
            <w:shd w:fill="2E6B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FFFFFF"/>
                <w:sz w:val="17"/>
              </w:rPr>
              <w:t>Requirement / limitation</w:t>
            </w:r>
          </w:p>
        </w:tc>
      </w:tr>
      <w:tr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Transport fuels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Candidate ready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Authoritative 2026 physical factors available</w:t>
            </w:r>
          </w:p>
        </w:tc>
      </w:tr>
      <w:tr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Road/rail/public transport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Candidate ready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Physical km/pkm route available; generic factors available</w:t>
            </w:r>
          </w:p>
        </w:tc>
      </w:tr>
      <w:tr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Home electricity/gas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Candidate ready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Physical kWh/Nm³ preferred</w:t>
            </w:r>
          </w:p>
        </w:tc>
      </w:tr>
      <w:tr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Food, item-level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Conditional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RIVM library available; item matching and boundary selection required</w:t>
            </w:r>
          </w:p>
        </w:tc>
      </w:tr>
      <w:tr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Food, spend-only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Fallback — re-derivation required for 2026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2020 broad ratio retained for lineage/screening; newer compatible derivation needed</w:t>
            </w:r>
          </w:p>
        </w:tc>
      </w:tr>
      <w:tr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Clothing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Conditional/fallback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EU methodology available; product inventory/factors incomplete</w:t>
            </w:r>
          </w:p>
        </w:tc>
      </w:tr>
      <w:tr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Electronics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Gap/fallback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Product-level library not yet controlled; detailed EEIO/spend mapping needed</w:t>
            </w:r>
          </w:p>
        </w:tc>
      </w:tr>
      <w:tr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Services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Gap/fallback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Detailed EEIO/COICOP factor library needed</w:t>
            </w:r>
          </w:p>
        </w:tc>
      </w:tr>
      <w:tr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Unknown/other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6"/>
              </w:rPr>
              <w:t>Low-confidence only</w:t>
            </w:r>
          </w:p>
        </w:tc>
        <w:tc>
          <w:tcPr>
            <w:tcW w:type="dxa" w:w="33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Ask user where practical; otherwise explicit low-confidence fallback with uncertainty status</w:t>
            </w:r>
          </w:p>
        </w:tc>
      </w:tr>
      <w:tr>
        <w:tc>
          <w:tcPr>
            <w:tcW w:type="dxa" w:w="3360"/>
          </w:tcPr>
          <w:p>
            <w:r>
              <w:t>Aviation non-CO₂</w:t>
            </w:r>
          </w:p>
        </w:tc>
        <w:tc>
          <w:tcPr>
            <w:tcW w:type="dxa" w:w="3360"/>
          </w:tcPr>
          <w:p>
            <w:r>
              <w:t>Defined / disclosure required</w:t>
            </w:r>
          </w:p>
        </w:tc>
        <w:tc>
          <w:tcPr>
            <w:tcW w:type="dxa" w:w="3360"/>
          </w:tcPr>
          <w:p>
            <w:r>
              <w:t>Store uplift treatment, source and version; benchmark only against boundary-compatible references</w:t>
            </w:r>
          </w:p>
        </w:tc>
      </w:tr>
      <w:tr>
        <w:tc>
          <w:tcPr>
            <w:tcW w:type="dxa" w:w="3360"/>
          </w:tcPr>
          <w:p>
            <w:r>
              <w:t>Electricity contractual basis</w:t>
            </w:r>
          </w:p>
        </w:tc>
        <w:tc>
          <w:tcPr>
            <w:tcW w:type="dxa" w:w="3360"/>
          </w:tcPr>
          <w:p>
            <w:r>
              <w:t>Partial</w:t>
            </w:r>
          </w:p>
        </w:tc>
        <w:tc>
          <w:tcPr>
            <w:tcW w:type="dxa" w:w="3360"/>
          </w:tcPr>
          <w:p>
            <w:r>
              <w:t>Grid-mix/location-based path defined; market-based/GvO path requires explicit evidence rules</w:t>
            </w:r>
          </w:p>
        </w:tc>
      </w:tr>
      <w:tr>
        <w:tc>
          <w:tcPr>
            <w:tcW w:type="dxa" w:w="3360"/>
          </w:tcPr>
          <w:p>
            <w:r>
              <w:t>Quantitative uncertainty</w:t>
            </w:r>
          </w:p>
        </w:tc>
        <w:tc>
          <w:tcPr>
            <w:tcW w:type="dxa" w:w="3360"/>
          </w:tcPr>
          <w:p>
            <w:r>
              <w:t>Architecture required</w:t>
            </w:r>
          </w:p>
        </w:tc>
        <w:tc>
          <w:tcPr>
            <w:tcW w:type="dxa" w:w="3360"/>
          </w:tcPr>
          <w:p>
            <w:r>
              <w:t>Store supported interval/range or 'not quantified'; grade is not a numeric error band</w:t>
            </w:r>
          </w:p>
        </w:tc>
      </w:tr>
      <w:tr>
        <w:tc>
          <w:tcPr>
            <w:tcW w:type="dxa" w:w="3360"/>
          </w:tcPr>
          <w:p>
            <w:r>
              <w:t>Grade distribution calibration</w:t>
            </w:r>
          </w:p>
        </w:tc>
        <w:tc>
          <w:tcPr>
            <w:tcW w:type="dxa" w:w="3360"/>
          </w:tcPr>
          <w:p>
            <w:r>
              <w:t>Pending</w:t>
            </w:r>
          </w:p>
        </w:tc>
        <w:tc>
          <w:tcPr>
            <w:tcW w:type="dxa" w:w="3360"/>
          </w:tcPr>
          <w:p>
            <w:r>
              <w:t>Measure A–E/X distribution on representative Dutch transaction sample before typical-quality claims</w:t>
            </w:r>
          </w:p>
        </w:tc>
      </w:tr>
    </w:tbl>
    <w:p>
      <w:pPr>
        <w:pStyle w:val="Heading1"/>
      </w:pPr>
      <w:r>
        <w:t>9. Change Control</w:t>
      </w:r>
    </w:p>
    <w:p>
      <w:pPr>
        <w:pStyle w:val="ListBullet"/>
      </w:pPr>
      <w:r>
        <w:t>New source year or materially different methodology creates a new factor version/ID.</w:t>
      </w:r>
    </w:p>
    <w:p>
      <w:pPr>
        <w:pStyle w:val="ListBullet"/>
      </w:pPr>
      <w:r>
        <w:t>Changes must be logged with effective date, reason and validation impact.</w:t>
      </w:r>
    </w:p>
    <w:p>
      <w:pPr>
        <w:pStyle w:val="ListBullet"/>
      </w:pPr>
      <w:r>
        <w:t>No factor can move to production status without provenance review and at least one regression/validation case.</w:t>
      </w:r>
    </w:p>
    <w:p>
      <w:pPr>
        <w:pStyle w:val="ListBullet"/>
      </w:pPr>
      <w:r>
        <w:t>Annual review should compare the current Dutch factor list with prior year values and assess whether assumptions remain valid.</w:t>
      </w:r>
    </w:p>
    <w:p>
      <w:pPr>
        <w:pStyle w:val="ListBullet"/>
      </w:pPr>
      <w:r>
        <w:t>Independent benchmarking should be recorded for selected high-impact factors/cases where a credible external reference exists. Acceptance is based on explainable differences in boundaries, geography, year, allocation and special treatments — not forced numerical equality.</w:t>
      </w:r>
    </w:p>
    <w:p>
      <w:pPr>
        <w:pStyle w:val="ListBullet"/>
      </w:pPr>
      <w:r>
        <w:t>Historical factor versions referenced by transactions must remain retrievable to an authorised audit process after supersession. Ordinary users must not be able to modify controlled factor records.</w:t>
      </w:r>
    </w:p>
    <w:p>
      <w:pPr>
        <w:pStyle w:val="ListBullet"/>
      </w:pPr>
      <w:r>
        <w:t>Retrospective recalculation is exceptional and must be explicitly documented.</w:t>
      </w:r>
    </w:p>
    <w:p>
      <w:r>
        <w:br w:type="page"/>
      </w:r>
    </w:p>
    <w:p>
      <w:pPr>
        <w:pStyle w:val="Heading1"/>
      </w:pPr>
      <w:r>
        <w:t>10. Revision Note — v1.1</w:t>
      </w:r>
    </w:p>
    <w:p>
      <w:r>
        <w:t>Version 1.1 aligns the Master Library with Methodology Statement v1.1. It adds explicit aviation non-CO₂ treatment, electricity accounting disclosure, anti-double-counting/residual-spend controls, factor staleness and re-derivation rules, uncertainty metadata, product-comparison restrictions, historical reproducibility, grade-distribution calibration and external benchmarking controls. The 2020 broad spend ratios are retained for lineage but downgraded for 2026 use because their reference dataset is now beyond Nula's five-year governance threshold.</w:t>
      </w:r>
    </w:p>
    <w:p>
      <w:r>
        <w:t>Source verification note (23 August 2026): CO₂-emissiefactoren.nl describes unknown-source electricity as grid mix / location based and gives 0.244 kg CO₂e/kWh for 2026; its European-flight page gives 0.172 kg CO₂e/passenger-km and explicitly states that non-CO₂ effects are included using a mean uplift factor of 0.7 over direct CO₂.</w:t>
      </w:r>
    </w:p>
    <w:p>
      <w:pPr>
        <w:pStyle w:val="Heading1"/>
      </w:pPr>
      <w:r>
        <w:t>References</w:t>
      </w:r>
    </w:p>
    <w:p>
      <w:r>
        <w:t xml:space="preserve">[1] </w:t>
      </w:r>
      <w:r>
        <w:t xml:space="preserve">CO₂-emissiefactoren.nl, Personenvervoer 2026. </w:t>
      </w:r>
      <w:hyperlink r:id="rId9">
        <w:r>
          <w:rPr>
            <w:color w:val="0563C1"/>
            <w:u w:val="single"/>
          </w:rPr>
          <w:t>https://co2emissiefactoren.nl/factoren/2026/13/personenvervoer/</w:t>
        </w:r>
      </w:hyperlink>
    </w:p>
    <w:p>
      <w:r>
        <w:t xml:space="preserve">[2] </w:t>
      </w:r>
      <w:r>
        <w:t xml:space="preserve">CBS (2026), “Verschillen in de broeikasgasvoetafdruk van Nederlandse huishoudens.” </w:t>
      </w:r>
      <w:hyperlink r:id="rId10">
        <w:r>
          <w:rPr>
            <w:color w:val="0563C1"/>
            <w:u w:val="single"/>
          </w:rPr>
          <w:t>https://www.cbs.nl/nl-nl/longread/rapportages/2026/verschillen-in-de-broeikasgasvoetafdruk-van-nederlandse-huishoudens?onepage=true</w:t>
        </w:r>
      </w:hyperlink>
    </w:p>
    <w:p>
      <w:r>
        <w:t xml:space="preserve">[3] </w:t>
      </w:r>
      <w:r>
        <w:t xml:space="preserve">CBS StatLine, “Bestedingen van huishoudens; bestedingscategorieën” (2020 expenditure data). </w:t>
      </w:r>
      <w:hyperlink r:id="rId11">
        <w:r>
          <w:rPr>
            <w:color w:val="0563C1"/>
            <w:u w:val="single"/>
          </w:rPr>
          <w:t>https://www.cbs.nl/nl-nl/cijfers/detail/83676NED</w:t>
        </w:r>
      </w:hyperlink>
    </w:p>
    <w:p>
      <w:r>
        <w:t xml:space="preserve">[4] </w:t>
      </w:r>
      <w:r>
        <w:t xml:space="preserve">CBS (2026), “Consumer price index from 2026” / ECOICOPv2 recoding and 2025=100 base. </w:t>
      </w:r>
      <w:hyperlink r:id="rId12">
        <w:r>
          <w:rPr>
            <w:color w:val="0563C1"/>
            <w:u w:val="single"/>
          </w:rPr>
          <w:t>https://www.cbs.nl/en-gb/longread/rapportages/2026/consumer-price-index-from-2026?onepage=true</w:t>
        </w:r>
      </w:hyperlink>
    </w:p>
    <w:p>
      <w:r>
        <w:t xml:space="preserve">[5] </w:t>
      </w:r>
      <w:r>
        <w:t xml:space="preserve">RIVM, “The environmental impact of food products,” Database Milieubelasting Voedingsmiddelen 2024, published 30 March 2026. </w:t>
      </w:r>
      <w:hyperlink r:id="rId13">
        <w:r>
          <w:rPr>
            <w:color w:val="0563C1"/>
            <w:u w:val="single"/>
          </w:rPr>
          <w:t>https://www.rivm.nl/en/food-and-nutrition/sustainable-food/environmental-impact-of-food-products</w:t>
        </w:r>
      </w:hyperlink>
    </w:p>
    <w:p>
      <w:r>
        <w:t xml:space="preserve">[6] </w:t>
      </w:r>
      <w:r>
        <w:t xml:space="preserve">European Commission (2021), Recommendation on the use of Environmental Footprint methods. </w:t>
      </w:r>
      <w:hyperlink r:id="rId14">
        <w:r>
          <w:rPr>
            <w:color w:val="0563C1"/>
            <w:u w:val="single"/>
          </w:rPr>
          <w:t>https://environment.ec.europa.eu/publications/recommendation-use-environmental-footprint-methods_en</w:t>
        </w:r>
      </w:hyperlink>
    </w:p>
    <w:p>
      <w:r>
        <w:t xml:space="preserve">[7] </w:t>
      </w:r>
      <w:r>
        <w:t xml:space="preserve">European Commission (2025), “New EU rules for measuring environmental impact of clothes and shoes.” </w:t>
      </w:r>
      <w:hyperlink r:id="rId15">
        <w:r>
          <w:rPr>
            <w:color w:val="0563C1"/>
            <w:u w:val="single"/>
          </w:rPr>
          <w:t>https://environment.ec.europa.eu/news/new-eu-rules-measuring-environmental-impact-clothes-and-shoes-2025-06-25_en</w:t>
        </w:r>
      </w:hyperlink>
    </w:p>
    <w:p>
      <w:r>
        <w:t xml:space="preserve">[8] </w:t>
      </w:r>
      <w:r>
        <w:t xml:space="preserve">CO₂-emissiefactoren.nl, Downloads and change history, 2015–2026. </w:t>
      </w:r>
      <w:hyperlink r:id="rId16">
        <w:r>
          <w:rPr>
            <w:color w:val="0563C1"/>
            <w:u w:val="single"/>
          </w:rPr>
          <w:t>https://co2emissiefactoren.nl/downloads/</w:t>
        </w:r>
      </w:hyperlink>
    </w:p>
    <w:p>
      <w:r>
        <w:t xml:space="preserve">[9] </w:t>
      </w:r>
      <w:r>
        <w:t xml:space="preserve">CO₂-emissiefactoren.nl, Benzine E10 2026. </w:t>
      </w:r>
      <w:hyperlink r:id="rId17">
        <w:r>
          <w:rPr>
            <w:color w:val="0563C1"/>
            <w:u w:val="single"/>
          </w:rPr>
          <w:t>https://co2emissiefactoren.nl/factoren/2026/30/66/brandstoffen-voertuigen-en-schepen-fossiele-brandstoffen-met-bio-bijmenging-benzine-e10/</w:t>
        </w:r>
      </w:hyperlink>
    </w:p>
    <w:p>
      <w:r>
        <w:t xml:space="preserve">[10] </w:t>
      </w:r>
      <w:r>
        <w:t xml:space="preserve">CO₂-emissiefactoren.nl, Diesel B7 2026. </w:t>
      </w:r>
      <w:hyperlink r:id="rId18">
        <w:r>
          <w:rPr>
            <w:color w:val="0563C1"/>
            <w:u w:val="single"/>
          </w:rPr>
          <w:t>https://co2emissiefactoren.nl/factoren/2026/30/67/brandstoffen-voertuigen-en-schepen-fossiele-brandstoffen-met-bio-bijmenging-diesel-b7/</w:t>
        </w:r>
      </w:hyperlink>
    </w:p>
    <w:p>
      <w:r>
        <w:t xml:space="preserve">[11] </w:t>
      </w:r>
      <w:r>
        <w:t xml:space="preserve">CO₂-emissiefactoren.nl, Electric train 2026. </w:t>
      </w:r>
      <w:hyperlink r:id="rId19">
        <w:r>
          <w:rPr>
            <w:color w:val="0563C1"/>
            <w:u w:val="single"/>
          </w:rPr>
          <w:t>https://co2emissiefactoren.nl/factoren/2026/53/196/personenvervoer-openbaar-vervoer-trein-elektrisch/</w:t>
        </w:r>
      </w:hyperlink>
    </w:p>
    <w:p>
      <w:r>
        <w:t xml:space="preserve">[12] </w:t>
      </w:r>
      <w:r>
        <w:t xml:space="preserve">CO₂-emissiefactoren.nl, European flight 700–2,500 km. </w:t>
      </w:r>
      <w:hyperlink r:id="rId20">
        <w:r>
          <w:rPr>
            <w:color w:val="0563C1"/>
            <w:u w:val="single"/>
          </w:rPr>
          <w:t>https://co2emissiefactoren.nl/factoren/2026/51/189/personenvervoer-vliegtuig-europees-700-2500-km/</w:t>
        </w:r>
      </w:hyperlink>
    </w:p>
    <w:p>
      <w:r>
        <w:t xml:space="preserve">[13] </w:t>
      </w:r>
      <w:r>
        <w:t xml:space="preserve">CO₂-emissiefactoren.nl, Electricity 2026 / unknown source grid mix. </w:t>
      </w:r>
      <w:hyperlink r:id="rId21">
        <w:r>
          <w:rPr>
            <w:color w:val="0563C1"/>
            <w:u w:val="single"/>
          </w:rPr>
          <w:t>https://co2emissiefactoren.nl/factoren/2026/11/elektriciteit/?unit=kwh</w:t>
        </w:r>
      </w:hyperlink>
    </w:p>
    <w:p>
      <w:r>
        <w:t xml:space="preserve">[14] </w:t>
      </w:r>
      <w:r>
        <w:t xml:space="preserve">CO₂-emissiefactoren.nl, Energy-generation fuels 2026 / natural gas G-gas. </w:t>
      </w:r>
      <w:hyperlink r:id="rId22">
        <w:r>
          <w:rPr>
            <w:color w:val="0563C1"/>
            <w:u w:val="single"/>
          </w:rPr>
          <w:t>https://co2emissiefactoren.nl/factoren/2026/10/brandstoffen-energieopwekking/</w:t>
        </w:r>
      </w:hyperlink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73C32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E6B5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2E6B57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C32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b w:val="0"/>
      <w:i/>
      <w:iCs/>
      <w:color w:val="5F6B66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2emissiefactoren.nl/factoren/2026/13/personenvervoer/" TargetMode="External"/><Relationship Id="rId10" Type="http://schemas.openxmlformats.org/officeDocument/2006/relationships/hyperlink" Target="https://www.cbs.nl/nl-nl/longread/rapportages/2026/verschillen-in-de-broeikasgasvoetafdruk-van-nederlandse-huishoudens?onepage=true" TargetMode="External"/><Relationship Id="rId11" Type="http://schemas.openxmlformats.org/officeDocument/2006/relationships/hyperlink" Target="https://www.cbs.nl/nl-nl/cijfers/detail/83676NED" TargetMode="External"/><Relationship Id="rId12" Type="http://schemas.openxmlformats.org/officeDocument/2006/relationships/hyperlink" Target="https://www.cbs.nl/en-gb/longread/rapportages/2026/consumer-price-index-from-2026?onepage=true" TargetMode="External"/><Relationship Id="rId13" Type="http://schemas.openxmlformats.org/officeDocument/2006/relationships/hyperlink" Target="https://www.rivm.nl/en/food-and-nutrition/sustainable-food/environmental-impact-of-food-products" TargetMode="External"/><Relationship Id="rId14" Type="http://schemas.openxmlformats.org/officeDocument/2006/relationships/hyperlink" Target="https://environment.ec.europa.eu/publications/recommendation-use-environmental-footprint-methods_en" TargetMode="External"/><Relationship Id="rId15" Type="http://schemas.openxmlformats.org/officeDocument/2006/relationships/hyperlink" Target="https://environment.ec.europa.eu/news/new-eu-rules-measuring-environmental-impact-clothes-and-shoes-2025-06-25_en" TargetMode="External"/><Relationship Id="rId16" Type="http://schemas.openxmlformats.org/officeDocument/2006/relationships/hyperlink" Target="https://co2emissiefactoren.nl/downloads/" TargetMode="External"/><Relationship Id="rId17" Type="http://schemas.openxmlformats.org/officeDocument/2006/relationships/hyperlink" Target="https://co2emissiefactoren.nl/factoren/2026/30/66/brandstoffen-voertuigen-en-schepen-fossiele-brandstoffen-met-bio-bijmenging-benzine-e10/" TargetMode="External"/><Relationship Id="rId18" Type="http://schemas.openxmlformats.org/officeDocument/2006/relationships/hyperlink" Target="https://co2emissiefactoren.nl/factoren/2026/30/67/brandstoffen-voertuigen-en-schepen-fossiele-brandstoffen-met-bio-bijmenging-diesel-b7/" TargetMode="External"/><Relationship Id="rId19" Type="http://schemas.openxmlformats.org/officeDocument/2006/relationships/hyperlink" Target="https://co2emissiefactoren.nl/factoren/2026/53/196/personenvervoer-openbaar-vervoer-trein-elektrisch/" TargetMode="External"/><Relationship Id="rId20" Type="http://schemas.openxmlformats.org/officeDocument/2006/relationships/hyperlink" Target="https://co2emissiefactoren.nl/factoren/2026/51/189/personenvervoer-vliegtuig-europees-700-2500-km/" TargetMode="External"/><Relationship Id="rId21" Type="http://schemas.openxmlformats.org/officeDocument/2006/relationships/hyperlink" Target="https://co2emissiefactoren.nl/factoren/2026/11/elektriciteit/?unit=kwh" TargetMode="External"/><Relationship Id="rId22" Type="http://schemas.openxmlformats.org/officeDocument/2006/relationships/hyperlink" Target="https://co2emissiefactoren.nl/factoren/2026/10/brandstoffen-energieopwekk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