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Arial" w:hAnsi="Arial"/>
          <w:b/>
          <w:color w:val="2E6B57"/>
          <w:sz w:val="64"/>
        </w:rPr>
        <w:t>NULA</w:t>
      </w:r>
    </w:p>
    <w:p>
      <w:pPr>
        <w:jc w:val="center"/>
      </w:pPr>
      <w:r>
        <w:rPr>
          <w:b/>
          <w:color w:val="173C32"/>
          <w:sz w:val="44"/>
        </w:rPr>
        <w:t>Annex A — Carbon Engine Validation &amp; Audit Protocol</w:t>
      </w:r>
    </w:p>
    <w:p>
      <w:pPr>
        <w:jc w:val="center"/>
      </w:pPr>
      <w:r>
        <w:t>Expanded validation pack, audit rules, calibration tests and release criteria</w:t>
      </w:r>
    </w:p>
    <w:p>
      <w:pPr>
        <w:spacing w:before="500"/>
        <w:jc w:val="center"/>
      </w:pPr>
      <w:r>
        <w:t>Version 1.1 — Revised Draft for Independent Review</w:t>
      </w:r>
    </w:p>
    <w:p>
      <w:pPr>
        <w:spacing w:before="600"/>
        <w:jc w:val="center"/>
      </w:pPr>
      <w:r>
        <w:t>Scientific status: scientifically grounded validation protocol aligned to Nula Methodology v1.1 and Carbon Factor Master Library v1.1; revised following technical/LCA review; not independently validated, assured or certified.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Document owner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Nula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Version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1.1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Status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Revised draft for independent technical/LCA review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Effective date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23 August 2026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Review cycle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sz w:val="15"/>
              </w:rPr>
              <w:t>At least annually; on material source/method changes; at factor re-derivation limits; and before stronger validation claims</w:t>
            </w:r>
          </w:p>
        </w:tc>
      </w:tr>
    </w:tbl>
    <w:p>
      <w:r>
        <w:rPr>
          <w:b/>
        </w:rPr>
        <w:t xml:space="preserve">Important limitation. </w:t>
      </w:r>
      <w:r>
        <w:t>This document defines the intended calculation and governance methodology for Nula. It does not constitute assurance, certification, a regulatory inventory, or a claim that every current production factor has been independently validated. Results must be presented as estimates unless a separately verified calculation supports a stronger claim.</w:t>
      </w:r>
    </w:p>
    <w:p>
      <w:pPr>
        <w:pStyle w:val="Heading1"/>
      </w:pPr>
      <w:r>
        <w:t>1. Purpose</w:t>
      </w:r>
    </w:p>
    <w:p>
      <w:r>
        <w:t>This annex defines the minimum validation and audit protocol for the Nula Carbon Engine. It is both a scientific test specification and a software regression suite. Version 1.1 tests arithmetic correctness and the controls introduced in Methodology Statement v1.1 and Carbon Factor Master Library v1.1: realistic transaction-data quality, anti-double-counting, residual-spend accounting, factor staleness, electricity basis disclosure, aviation non-CO₂ treatment, uncertainty metadata, confidence calibration, historical reproducibility and external benchmarking.</w:t>
      </w:r>
    </w:p>
    <w:p>
      <w:r>
        <w:t>The engine should not be described as production-ready until all applicable release-gate requirements pass and unresolved limitations are explicitly documented. Passing this protocol is an internal release condition; it is not independent assurance or certification.</w:t>
      </w:r>
    </w:p>
    <w:p>
      <w:pPr>
        <w:pStyle w:val="Heading1"/>
      </w:pPr>
      <w:r>
        <w:t>2. General Pass Criteria</w:t>
      </w:r>
    </w:p>
    <w:p>
      <w:pPr>
        <w:pStyle w:val="ListBullet"/>
      </w:pPr>
      <w:r>
        <w:t>Correct method is selected for the evidence actually available; activity-grade precision is not inferred from transaction spend alone.</w:t>
      </w:r>
    </w:p>
    <w:p>
      <w:pPr>
        <w:pStyle w:val="ListBullet"/>
      </w:pPr>
      <w:r>
        <w:t>Correct factor ID/version, value, unit, geography, reference year, boundary, source/version and special treatment are stored.</w:t>
      </w:r>
    </w:p>
    <w:p>
      <w:pPr>
        <w:pStyle w:val="ListBullet"/>
      </w:pPr>
      <w:r>
        <w:t>Calculation arithmetic can be independently reproduced to the defined rounding tolerance.</w:t>
      </w:r>
    </w:p>
    <w:p>
      <w:pPr>
        <w:pStyle w:val="ListBullet"/>
      </w:pPr>
      <w:r>
        <w:t>No hidden conversion from spend into litres, kWh, distance, passenger-kilometres or product quantities occurs without a controlled inference method.</w:t>
      </w:r>
    </w:p>
    <w:p>
      <w:pPr>
        <w:pStyle w:val="ListBullet"/>
      </w:pPr>
      <w:r>
        <w:t>Each purchase/expenditure contributes once only; upgraded activity/product calculations are excluded from overlapping residual-spend pools.</w:t>
      </w:r>
    </w:p>
    <w:p>
      <w:pPr>
        <w:pStyle w:val="ListBullet"/>
      </w:pPr>
      <w:r>
        <w:t>Confidence grade matches evidence quality and is not presented as a statistical uncertainty interval.</w:t>
      </w:r>
    </w:p>
    <w:p>
      <w:pPr>
        <w:pStyle w:val="ListBullet"/>
      </w:pPr>
      <w:r>
        <w:t>Where a quantitative uncertainty interval is supported, it is stored separately; otherwise uncertainty_status is 'not quantified'.</w:t>
      </w:r>
    </w:p>
    <w:p>
      <w:pPr>
        <w:pStyle w:val="ListBullet"/>
      </w:pPr>
      <w:r>
        <w:t>User-facing results are labelled Estimated CO₂e where appropriate and disclose method/source/confidence on request.</w:t>
      </w:r>
    </w:p>
    <w:p>
      <w:pPr>
        <w:pStyle w:val="ListBullet"/>
      </w:pPr>
      <w:r>
        <w:t>Historical results remain reproducible and the exact historical factor version is retrievable by an authorised audit process.</w:t>
      </w:r>
    </w:p>
    <w:p>
      <w:pPr>
        <w:pStyle w:val="ListBullet"/>
      </w:pPr>
      <w:r>
        <w:t>Ordinary users cannot modify controlled factor records or access another user's calculation records.</w:t>
      </w:r>
    </w:p>
    <w:p>
      <w:pPr>
        <w:pStyle w:val="ListBullet"/>
      </w:pPr>
      <w:r>
        <w:t>Fallback-factor staleness/re-derivation rules are enforced before production use.</w:t>
      </w:r>
    </w:p>
    <w:p>
      <w:pPr>
        <w:pStyle w:val="ListBullet"/>
      </w:pPr>
      <w:r>
        <w:t>External benchmark differences are investigated by boundary, year, geography, allocation and special-treatment differences.</w:t>
      </w:r>
    </w:p>
    <w:p>
      <w:pPr>
        <w:pStyle w:val="Heading1"/>
      </w:pPr>
      <w:r>
        <w:t>3. Numeric Reference Cases — Activity-based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Input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Method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Factor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Expected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Grade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Pass note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30 L E10 petrol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2.794 kg/L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83.820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NL-FUEL-E10-2026; WTW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25 L Diesel B7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3.251 kg/L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81.275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NL-FUEL-DIESEL-B7-2026; WTW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150 vehicle-km, average car, fuel unknown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0.190 kg/vkm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28.500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Only when actual fuel use/type unavailable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100 pkm electric train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0.019 kg/pkm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1.900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2026 factor/version retained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50 pkm generic public transport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0.036 kg/pkm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1.800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Only when mode-specific factor unavailable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300 kWh, Dutch source unknown/grid mix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0.244 kg/kWh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73.200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Label grid mix/location-based-style; no silent infrastructure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7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80 Nm³ natural gas G-gas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2.134 kg/Nm³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170.720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WTW</w:t>
            </w:r>
          </w:p>
        </w:tc>
      </w:tr>
      <w:tr>
        <w:tc>
          <w:tcPr>
            <w:tcW w:type="dxa" w:w="1440"/>
          </w:tcPr>
          <w:p>
            <w:r>
              <w:rPr>
                <w:sz w:val="15"/>
              </w:rPr>
              <w:t>8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1,000 pkm European flight, 700–2,500 km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0.172 kg/pkm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172.000 kg CO₂e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A/B</w:t>
            </w:r>
          </w:p>
        </w:tc>
        <w:tc>
          <w:tcPr>
            <w:tcW w:type="dxa" w:w="1440"/>
          </w:tcPr>
          <w:p>
            <w:r>
              <w:rPr>
                <w:sz w:val="15"/>
              </w:rPr>
              <w:t>Store embedded non-CO₂ treatment; source states mean uplift 0.7 over direct CO₂</w:t>
            </w:r>
          </w:p>
        </w:tc>
      </w:tr>
    </w:tbl>
    <w:p>
      <w:pPr>
        <w:pStyle w:val="Heading1"/>
      </w:pPr>
      <w:r>
        <w:t>4. Transaction, Spend-based and Classification Cases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Input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Expected method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Rule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Grade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Pass condition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9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€60 supermarket; no item detail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Broad fallback only if eligible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2020 ratio stale for 2026 under v1.1 threshold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E / withheld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Block normal Grade-D use pending re-derivation or reviewer approval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10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€60 supermarket + reliable item quantities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Product/LCA where controlled match exists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Upgrade from spend path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B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Remove upgraded transaction from residual food spend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11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€90 clothing retailer; product unknown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Detailed spend if available; else fallback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fabricated garment LCA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Merchant alone does not create product specificity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12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€150 furnishings retailer; product unspecified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Detailed spend if available; else fallback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Retain uncertainty status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silent stale Grade-D use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13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€45 restaurant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Hospitality/food-service spend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Not grocery-food product category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Correct category/boundary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14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€120 hotel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Accommodation spend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Not passenger transport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travel-distance inference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15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€120 marketplace; product unknown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Clarification/generic fallback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fixed product factor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Refuse false product specificity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16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€800 marketplace; laptop identified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Product/LCA if controlled; else detailed spend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Product context overrides merchant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B/C/E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Evidence controls selection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17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Fuel retailer €70; litres unknown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Spend/inferred only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Do not record litres as known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Grade A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18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Rail fare only; distance unavailable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Spend/clarification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Do not invent pkm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fabricated distance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19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Energy bill only; no kWh/Nm³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Spend/clarification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Do not infer physical consumption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C/E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Grade A</w:t>
            </w:r>
          </w:p>
        </w:tc>
      </w:tr>
      <w:tr>
        <w:tc>
          <w:tcPr>
            <w:tcW w:type="dxa" w:w="1680"/>
          </w:tcPr>
          <w:p>
            <w:r>
              <w:rPr>
                <w:sz w:val="15"/>
              </w:rPr>
              <w:t>20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Unknown merchant + product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Clarification/generic fallback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No precise category factor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E</w:t>
            </w:r>
          </w:p>
        </w:tc>
        <w:tc>
          <w:tcPr>
            <w:tcW w:type="dxa" w:w="1680"/>
          </w:tcPr>
          <w:p>
            <w:r>
              <w:rPr>
                <w:sz w:val="15"/>
              </w:rPr>
              <w:t>Uncertainty/clarification triggered</w:t>
            </w:r>
          </w:p>
        </w:tc>
      </w:tr>
    </w:tbl>
    <w:p>
      <w:pPr>
        <w:pStyle w:val="Heading1"/>
      </w:pPr>
      <w:r>
        <w:t>5. Anti-Double-Counting and Mixed-Method Aggregation Tests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Scenario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Expected control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Pass condition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21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€100 fuel transaction first spend-estimated, then enriched to 30 L E10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Replace spend result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Only 83.820 kg activity result remains; original spend result excluded from residual transport.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22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€300 grocery month; €60 upgraded to item/LCA; €240 remains transaction-only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Mixed product + residual spend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Product result applies to €60; only eligible €240 enters residual spend.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23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Same transaction imported twice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Duplicate control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Aggregate includes purchase once; duplicate flagged/removed.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24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Month contains A, B, C and E records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Mixed-grade aggregation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Dashboard equals sum of mutually exclusive active records; method-grade mix remains visible/auditable.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25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User reclassifies transaction after calculation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Supersession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Old calculation retained for audit but excluded from active aggregate; new result counted once.</w:t>
            </w:r>
          </w:p>
        </w:tc>
      </w:tr>
    </w:tbl>
    <w:p>
      <w:pPr>
        <w:pStyle w:val="Heading1"/>
      </w:pPr>
      <w:r>
        <w:t>6. Broad Fallback Derivation, Staleness and Re-derivation Tests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</w:tcPr>
          <w:p>
            <w:r>
              <w:rPr>
                <w:sz w:val="15"/>
              </w:rPr>
              <w:t>Category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Derivation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Historical intensity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Food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2,972 ÷ €4,458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0.667 kg CO₂e/€2020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Transport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2,824 ÷ €3,955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0.714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Furnishings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667 ÷ €2,282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0.292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Restaurants &amp; hotels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513 ÷ €1,651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0.311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Clothing &amp; footwear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310 ÷ €1,394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0.222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Recreation &amp; culture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699 ÷ €3,020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0.231</w:t>
            </w:r>
          </w:p>
        </w:tc>
      </w:tr>
    </w:tbl>
    <w:p>
      <w:pPr>
        <w:pStyle w:val="ListBullet"/>
      </w:pPr>
      <w:r>
        <w:t>Ratios are labelled Nula-derived from CBS outputs, not official CBS-published coefficients.</w:t>
      </w:r>
    </w:p>
    <w:p>
      <w:pPr>
        <w:pStyle w:val="ListBullet"/>
      </w:pPr>
      <w:r>
        <w:t>For 2026, the 2020 reference dataset is beyond the five-calendar-year Nula governance threshold: downgrade to Grade E or withhold unless documented reviewer approval permits temporary use.</w:t>
      </w:r>
    </w:p>
    <w:p>
      <w:pPr>
        <w:pStyle w:val="ListBullet"/>
      </w:pPr>
      <w:r>
        <w:t>Annual suitability review is logged; materially newer compatible data trigger re-derivation rather than indefinite CPI-only extension.</w:t>
      </w:r>
    </w:p>
    <w:p>
      <w:pPr>
        <w:pStyle w:val="ListBullet"/>
      </w:pPr>
      <w:r>
        <w:t>Re-derivation creates a new factor version/ID and preserves historical 2020 lineage.</w:t>
      </w:r>
    </w:p>
    <w:p>
      <w:pPr>
        <w:pStyle w:val="Heading1"/>
      </w:pPr>
      <w:r>
        <w:t>7. Price-Year Adjustment Tests</w:t>
      </w:r>
    </w:p>
    <w:p>
      <w:pPr>
        <w:pStyle w:val="ListNumber"/>
      </w:pPr>
      <w:r>
        <w:t>Store factor reference year and transaction date/period.</w:t>
      </w:r>
    </w:p>
    <w:p>
      <w:pPr>
        <w:pStyle w:val="ListNumber"/>
      </w:pPr>
      <w:r>
        <w:t>Use a comparable category-specific CBS CPI/ECOICOPv2 series where available.</w:t>
      </w:r>
    </w:p>
    <w:p>
      <w:pPr>
        <w:pStyle w:val="ListNumber"/>
      </w:pPr>
      <w:r>
        <w:t>Reproduce adjusted spend = current spend × CPI(reference) / CPI(transaction).</w:t>
      </w:r>
    </w:p>
    <w:p>
      <w:pPr>
        <w:pStyle w:val="ListNumber"/>
      </w:pPr>
      <w:r>
        <w:t>Store CPI series identifier, reference index, transaction index, adjustment ratio and adjusted spend.</w:t>
      </w:r>
    </w:p>
    <w:p>
      <w:pPr>
        <w:pStyle w:val="ListNumber"/>
      </w:pPr>
      <w:r>
        <w:t>A broader CPI aggregate reduces confidence.</w:t>
      </w:r>
    </w:p>
    <w:p>
      <w:pPr>
        <w:pStyle w:val="ListNumber"/>
      </w:pPr>
      <w:r>
        <w:t>No CPI adjustment applies to physical activity such as litres, kWh, Nm³ or pkm.</w:t>
      </w:r>
    </w:p>
    <w:p>
      <w:pPr>
        <w:pStyle w:val="ListNumber"/>
      </w:pPr>
      <w:r>
        <w:t>Unavailable/non-comparable price series cannot produce invented precision.</w:t>
      </w:r>
    </w:p>
    <w:p>
      <w:pPr>
        <w:pStyle w:val="ListNumber"/>
      </w:pPr>
      <w:r>
        <w:t>CPI adjustment cannot reset factor age or bypass staleness/re-derivation control.</w:t>
      </w:r>
    </w:p>
    <w:p>
      <w:pPr>
        <w:pStyle w:val="ListNumber"/>
      </w:pPr>
      <w:r>
        <w:t>UI/audit wording cannot imply that CPI-adjusted 2020 intensity is newly observed 2026 carbon intensity.</w:t>
      </w:r>
    </w:p>
    <w:p>
      <w:pPr>
        <w:pStyle w:val="Heading1"/>
      </w:pPr>
      <w:r>
        <w:t>8. Electricity Accounting Tests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Input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Expected control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Pass condition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26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300 kWh; source unknown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NL-ELEC-GRID-2026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73.200 kg CO₂e; record grid mix/location-based-style basis.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27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300 kWh; 'green contract' claimed, no qualifying evidence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Do not auto-zero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Keep location-based-style estimate or unresolved contractual path; disclose limitation.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28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Credible supplier/product/GvO evidence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Use separate contractual path only if controlled rules/factor exist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Store evidence and accounting basis; otherwise do not manufacture market-based result.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29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Electricity result displayed/exported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Disclosure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Clearly distinguish grid/location basis from contractual/market-based-style result.</w:t>
            </w:r>
          </w:p>
        </w:tc>
      </w:tr>
    </w:tbl>
    <w:p>
      <w:r>
        <w:t>Rationale: GHG Protocol distinguishes location-based and market-based accounting and applies quality criteria to contractual instruments. Nula is not a corporate Scope 2 inventory, but its terminology must not blur these accounting bases.</w:t>
      </w:r>
    </w:p>
    <w:p>
      <w:pPr>
        <w:pStyle w:val="Heading1"/>
      </w:pPr>
      <w:r>
        <w:t>9. Aviation Non-CO₂ Tests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Scenario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Expected control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Pass condition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30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1,000 pkm European flight 700–2,500 km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Use 0.172 kg CO₂e/pkm; expected 172.000 kg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Record embedded non-CO₂ treatment and source statement: mean uplift 0.7 over direct CO₂.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31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Benchmark excludes non-CO₂ effects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Do not treat totals as like-for-like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Reconcile methodological treatment before accuracy conclusion.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32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Separate 0.7 uplift attempted on NL-FLIGHT-EU-2026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Reject double uplift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special_treatment metadata identifies uplift as embedded.</w:t>
            </w:r>
          </w:p>
        </w:tc>
      </w:tr>
    </w:tbl>
    <w:p>
      <w:pPr>
        <w:pStyle w:val="Heading1"/>
      </w:pPr>
      <w:r>
        <w:t>10. Product/LCA Comparative-Claim Tests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Scenario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Expected control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Pass condition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33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Two foods matched to RIVM generic-food data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Estimate within source limitations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No unsupported head-to-head superiority/ranking based solely on data lacking required comparative critical review.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34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User asks which product is greener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Restrict comparative claim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Only provide comparison where source/method supports it; otherwise disclose limitation.</w:t>
            </w:r>
          </w:p>
        </w:tc>
      </w:tr>
    </w:tbl>
    <w:p>
      <w:pPr>
        <w:pStyle w:val="Heading1"/>
      </w:pPr>
      <w:r>
        <w:t>11. Uncertainty and Confidence Calibration</w:t>
      </w:r>
    </w:p>
    <w:p>
      <w:r>
        <w:t>A–E/X grades describe evidence/method quality, not probability or numeric error. Supported quantitative uncertainty is stored separately; otherwise record 'not quantified'.</w:t>
      </w:r>
    </w:p>
    <w:p>
      <w:pPr>
        <w:pStyle w:val="ListBullet"/>
      </w:pPr>
      <w:r>
        <w:t>Use a documented representative Dutch transaction sampling protocol before claims about typical data quality.</w:t>
      </w:r>
    </w:p>
    <w:p>
      <w:pPr>
        <w:pStyle w:val="ListBullet"/>
      </w:pPr>
      <w:r>
        <w:t>Report observed A/B/C/D/E/X distribution, classification certainty, enrichment success and unresolved transactions.</w:t>
      </w:r>
    </w:p>
    <w:p>
      <w:pPr>
        <w:pStyle w:val="ListBullet"/>
      </w:pPr>
      <w:r>
        <w:t>Test mapping from internal grades to High/Medium/Low so simplified labels do not systematically overstate evidence quality.</w:t>
      </w:r>
    </w:p>
    <w:p>
      <w:pPr>
        <w:pStyle w:val="ListBullet"/>
      </w:pPr>
      <w:r>
        <w:t>Stratify calibration by major category because method availability differs materially by category.</w:t>
      </w:r>
    </w:p>
    <w:p>
      <w:pPr>
        <w:pStyle w:val="ListBullet"/>
      </w:pPr>
      <w:r>
        <w:t>Record sample size, period, inclusion/exclusion rules and manual enrichment.</w:t>
      </w:r>
    </w:p>
    <w:p>
      <w:pPr>
        <w:pStyle w:val="ListBullet"/>
      </w:pPr>
      <w:r>
        <w:t>Repeat calibration after material classifier, enrichment or factor-library changes.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sz w:val="15"/>
              </w:rPr>
              <w:t>Case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Scenario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Expected result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Pass condition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35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Service transaction, spend-only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C/E depending on controlled factor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uncertainty_status is supported range or 'not quantified'; never invented ±%.</w:t>
            </w:r>
          </w:p>
        </w:tc>
      </w:tr>
      <w:tr>
        <w:tc>
          <w:tcPr>
            <w:tcW w:type="dxa" w:w="2520"/>
          </w:tcPr>
          <w:p>
            <w:r>
              <w:rPr>
                <w:sz w:val="15"/>
              </w:rPr>
              <w:t>36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Dashboard mostly C/E with few A records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Simplified confidence</w:t>
            </w:r>
          </w:p>
        </w:tc>
        <w:tc>
          <w:tcPr>
            <w:tcW w:type="dxa" w:w="2520"/>
          </w:tcPr>
          <w:p>
            <w:r>
              <w:rPr>
                <w:sz w:val="15"/>
              </w:rPr>
              <w:t>Overall display must not become 'High confidence' merely because a minority is Grade A.</w:t>
            </w:r>
          </w:p>
        </w:tc>
      </w:tr>
    </w:tbl>
    <w:p>
      <w:pPr>
        <w:pStyle w:val="Heading1"/>
      </w:pPr>
      <w:r>
        <w:t>12. Merchant-to-Category Audit Rules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</w:tcPr>
          <w:p>
            <w:r>
              <w:rPr>
                <w:sz w:val="15"/>
              </w:rPr>
              <w:t>Merchant type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Default mapping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Audit rule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Fuel retailer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Fuel/transport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Use fuel type/litres if available; otherwise eligible spend path; never infer litres as fact.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NS / rail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Passenger rail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Use route/distance/pkm if available; fare alone is not distance.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Airline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Air transport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Use origin/destination or reliable distance; ticket price is not distance.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Supermarket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Food broad initially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Upgrade with credible receipt/item data; remove upgraded purchase from residual spend.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Clothing retailer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Clothing &amp; footwear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Product route only with credible product identity and lifecycle data.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Marketplace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Unknown until item resolved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Merchant identity never determines one product factor.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Utility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Electricity/gas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Use kWh/Nm³ and source/fuel; distinguish grid basis from contractual evidence.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Restaurant / delivery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Food service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Distinguish from grocery-food product category.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Hotel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Accommodation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Distinguish from passenger transport.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Unknown merchant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Unresolved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Ask user or explicit generic low-confidence fallback.</w:t>
            </w:r>
          </w:p>
        </w:tc>
      </w:tr>
    </w:tbl>
    <w:p>
      <w:pPr>
        <w:pStyle w:val="Heading1"/>
      </w:pPr>
      <w:r>
        <w:t>13. Versioning, Historical Reproducibility and Factor API Tests</w:t>
      </w:r>
    </w:p>
    <w:p>
      <w:pPr>
        <w:pStyle w:val="ListNumber"/>
      </w:pPr>
      <w:r>
        <w:t>Calculate with factor version A and store all required metadata.</w:t>
      </w:r>
    </w:p>
    <w:p>
      <w:pPr>
        <w:pStyle w:val="ListNumber"/>
      </w:pPr>
      <w:r>
        <w:t>Activate version B prospectively.</w:t>
      </w:r>
    </w:p>
    <w:p>
      <w:pPr>
        <w:pStyle w:val="ListNumber"/>
      </w:pPr>
      <w:r>
        <w:t>Historical transaction remains unchanged.</w:t>
      </w:r>
    </w:p>
    <w:p>
      <w:pPr>
        <w:pStyle w:val="ListNumber"/>
      </w:pPr>
      <w:r>
        <w:t>Authorised audit retrieval returns exact inactive historical factor version and metadata.</w:t>
      </w:r>
    </w:p>
    <w:p>
      <w:pPr>
        <w:pStyle w:val="ListNumber"/>
      </w:pPr>
      <w:r>
        <w:t>Ordinary users cannot edit controlled factors.</w:t>
      </w:r>
    </w:p>
    <w:p>
      <w:pPr>
        <w:pStyle w:val="ListNumber"/>
      </w:pPr>
      <w:r>
        <w:t>Historical recalculation occurs only through explicit reviewed migration.</w:t>
      </w:r>
    </w:p>
    <w:p>
      <w:pPr>
        <w:pStyle w:val="ListNumber"/>
      </w:pPr>
      <w:r>
        <w:t>Change log records source change, effective date, reason, reviewer/approver and affected tests.</w:t>
      </w:r>
    </w:p>
    <w:p>
      <w:pPr>
        <w:pStyle w:val="ListNumber"/>
      </w:pPr>
      <w:r>
        <w:t>Client-supplied factor ID cannot select an ineligible/stale factor or bypass method/category controls.</w:t>
      </w:r>
    </w:p>
    <w:p>
      <w:pPr>
        <w:pStyle w:val="Heading1"/>
      </w:pPr>
      <w:r>
        <w:t>14. Security and Data Isolation Tests</w:t>
      </w:r>
    </w:p>
    <w:p>
      <w:pPr>
        <w:pStyle w:val="ListBullet"/>
      </w:pPr>
      <w:r>
        <w:t>User A can read/write only user A calculation records and transactions.</w:t>
      </w:r>
    </w:p>
    <w:p>
      <w:pPr>
        <w:pStyle w:val="ListBullet"/>
      </w:pPr>
      <w:r>
        <w:t>User B cannot select, update or delete user A records.</w:t>
      </w:r>
    </w:p>
    <w:p>
      <w:pPr>
        <w:pStyle w:val="ListBullet"/>
      </w:pPr>
      <w:r>
        <w:t>Ordinary-user factor access is read-only.</w:t>
      </w:r>
    </w:p>
    <w:p>
      <w:pPr>
        <w:pStyle w:val="ListBullet"/>
      </w:pPr>
      <w:r>
        <w:t>Administrative factor editing requires privileged role and audit log.</w:t>
      </w:r>
    </w:p>
    <w:p>
      <w:pPr>
        <w:pStyle w:val="ListBullet"/>
      </w:pPr>
      <w:r>
        <w:t>Historical-factor audit retrieval is authorised/logged without weakening user-data isolation.</w:t>
      </w:r>
    </w:p>
    <w:p>
      <w:pPr>
        <w:pStyle w:val="ListBullet"/>
      </w:pPr>
      <w:r>
        <w:t>No client-supplied factor ID bypasses method, eligibility, staleness or ownership checks.</w:t>
      </w:r>
    </w:p>
    <w:p>
      <w:pPr>
        <w:pStyle w:val="Heading1"/>
      </w:pPr>
      <w:r>
        <w:t>15. Sanity and Plausibility Checks</w:t>
      </w:r>
    </w:p>
    <w:p>
      <w:r>
        <w:t>Sanity checks are anomaly detectors, not substitutes for factor correctness and must not force results toward population averages.</w:t>
      </w:r>
    </w:p>
    <w:p>
      <w:pPr>
        <w:pStyle w:val="ListBullet"/>
      </w:pPr>
      <w:r>
        <w:t>Flag negative emissions unless a controlled removal/credit methodology permits them.</w:t>
      </w:r>
    </w:p>
    <w:p>
      <w:pPr>
        <w:pStyle w:val="ListBullet"/>
      </w:pPr>
      <w:r>
        <w:t>Flag impossible units or magnitudes.</w:t>
      </w:r>
    </w:p>
    <w:p>
      <w:pPr>
        <w:pStyle w:val="ListBullet"/>
      </w:pPr>
      <w:r>
        <w:t>Flag duplicate transaction counting.</w:t>
      </w:r>
    </w:p>
    <w:p>
      <w:pPr>
        <w:pStyle w:val="ListBullet"/>
      </w:pPr>
      <w:r>
        <w:t>Flag annualised totals orders of magnitude from plausible ranges for review while preserving legitimate atypical cases.</w:t>
      </w:r>
    </w:p>
    <w:p>
      <w:pPr>
        <w:pStyle w:val="ListBullet"/>
      </w:pPr>
      <w:r>
        <w:t>Run category-level plausibility checks as well as total checks; plausible totals can still contain absurd category distributions.</w:t>
      </w:r>
    </w:p>
    <w:p>
      <w:pPr>
        <w:pStyle w:val="ListBullet"/>
      </w:pPr>
      <w:r>
        <w:t>Category thresholds are review triggers, not automatic corrections.</w:t>
      </w:r>
    </w:p>
    <w:p>
      <w:pPr>
        <w:pStyle w:val="Heading1"/>
      </w:pPr>
      <w:r>
        <w:t>16. External Benchmarking / Backtesting Protocol</w:t>
      </w:r>
    </w:p>
    <w:p>
      <w:r>
        <w:t>Before stronger external validation claims, selected high-impact cases must be compared with at least one credible independent calculator or published benchmark whose method can be understood. Equality is not the target.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</w:tcPr>
          <w:p>
            <w:r>
              <w:rPr>
                <w:sz w:val="15"/>
              </w:rPr>
              <w:t>Domain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Benchmark input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Required reconciliation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Transport/fuel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Same physical quantity and fuel/mode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Factor year, WTW/TTW/WTT boundary and units.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Electricity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Same kWh, geography and year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Grid/location basis; do not directly compare with contractual market-based result.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Flight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Same route/distance class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Non-CO₂ treatment, distance convention, class assumptions and boundary.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Food/product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Same product/quantity where feasible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Lifecycle boundary, functional unit and source restrictions.</w:t>
            </w:r>
          </w:p>
        </w:tc>
      </w:tr>
      <w:tr>
        <w:tc>
          <w:tcPr>
            <w:tcW w:type="dxa" w:w="3360"/>
          </w:tcPr>
          <w:p>
            <w:r>
              <w:rPr>
                <w:sz w:val="15"/>
              </w:rPr>
              <w:t>Spend-based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Same expenditure/category where independent EEIO benchmark exists</w:t>
            </w:r>
          </w:p>
        </w:tc>
        <w:tc>
          <w:tcPr>
            <w:tcW w:type="dxa" w:w="3360"/>
          </w:tcPr>
          <w:p>
            <w:r>
              <w:rPr>
                <w:sz w:val="15"/>
              </w:rPr>
              <w:t>Price year, category mapping, purchaser/basic-price treatment and supply-chain boundary.</w:t>
            </w:r>
          </w:p>
        </w:tc>
      </w:tr>
    </w:tbl>
    <w:p>
      <w:pPr>
        <w:pStyle w:val="ListBullet"/>
      </w:pPr>
      <w:r>
        <w:t>Record benchmark source/version/access date, input, output and methodological differences.</w:t>
      </w:r>
    </w:p>
    <w:p>
      <w:pPr>
        <w:pStyle w:val="ListBullet"/>
      </w:pPr>
      <w:r>
        <w:t>Define material-difference thresholds before the run where feasible; unexplained material differences trigger investigation.</w:t>
      </w:r>
    </w:p>
    <w:p>
      <w:pPr>
        <w:pStyle w:val="ListBullet"/>
      </w:pPr>
      <w:r>
        <w:t>A benchmark is corroborative evidence, not proof that either calculator is correct.</w:t>
      </w:r>
    </w:p>
    <w:p>
      <w:pPr>
        <w:pStyle w:val="Heading1"/>
      </w:pPr>
      <w:r>
        <w:t>17. Release Gate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sz w:val="15"/>
              </w:rPr>
              <w:t>Gate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Release criterion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Activity factors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Applicable numeric cases PASS; source/version/boundary metadata complete.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Mixed-method aggregation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Cases 21–25 PASS; residual-spend reconciliation works.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Broad fallback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Lineage PASS; 2020 ratios not normal Grade-D production factors for 2026.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Price-year adjustment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CPI tests PASS; factor-age governance cannot be bypassed.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Electricity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Grid/location disclosure PASS; no unsupported automatic contractual/zero claim.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Aviation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Non-CO₂ treatment stored; no double uplift; boundary-aware comparisons.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Product/LCA claims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Source limitations preserved; unsupported superiority claims blocked.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Uncertainty/confidence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No invented numeric bands; calibration required before typical-quality claims.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Classification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No merchant-only false precision.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Versioning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Historical retrieval and prospective versioning PASS.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Security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RLS/data isolation and privileged factor editing PASS.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Sanity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Total and category anomaly checks implemented as review flags.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External benchmarking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Selected high-impact cases benchmarked and material differences reconciled before stronger validation claims.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User claims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Estimated/uncertainty language and calculation-detail view present.</w:t>
            </w:r>
          </w:p>
        </w:tc>
      </w:tr>
      <w:tr>
        <w:tc>
          <w:tcPr>
            <w:tcW w:type="dxa" w:w="5040"/>
          </w:tcPr>
          <w:p>
            <w:r>
              <w:rPr>
                <w:sz w:val="15"/>
              </w:rPr>
              <w:t>Independent review</w:t>
            </w:r>
          </w:p>
        </w:tc>
        <w:tc>
          <w:tcPr>
            <w:tcW w:type="dxa" w:w="5040"/>
          </w:tcPr>
          <w:p>
            <w:r>
              <w:rPr>
                <w:sz w:val="15"/>
              </w:rPr>
              <w:t>Required before independent validation/assurance/certification claim.</w:t>
            </w:r>
          </w:p>
        </w:tc>
      </w:tr>
    </w:tbl>
    <w:p>
      <w:pPr>
        <w:pStyle w:val="Heading1"/>
      </w:pPr>
      <w:r>
        <w:t>18. Independent Reviewer Checklist</w:t>
      </w:r>
    </w:p>
    <w:p>
      <w:pPr>
        <w:pStyle w:val="ListBullet"/>
      </w:pPr>
      <w:r>
        <w:t>Are sources appropriate for stated boundaries, geography and years?</w:t>
      </w:r>
    </w:p>
    <w:p>
      <w:pPr>
        <w:pStyle w:val="ListBullet"/>
      </w:pPr>
      <w:r>
        <w:t>Are units/conversions and WTW/TTW/WTT boundaries correct?</w:t>
      </w:r>
    </w:p>
    <w:p>
      <w:pPr>
        <w:pStyle w:val="ListBullet"/>
      </w:pPr>
      <w:r>
        <w:t>Is realistic transaction-led C/D/E operation adequately represented?</w:t>
      </w:r>
    </w:p>
    <w:p>
      <w:pPr>
        <w:pStyle w:val="ListBullet"/>
      </w:pPr>
      <w:r>
        <w:t>Does anti-double-counting work across upgrades and mixed-method aggregates?</w:t>
      </w:r>
    </w:p>
    <w:p>
      <w:pPr>
        <w:pStyle w:val="ListBullet"/>
      </w:pPr>
      <w:r>
        <w:t>Are residual-spend pools reconciled to transaction IDs?</w:t>
      </w:r>
    </w:p>
    <w:p>
      <w:pPr>
        <w:pStyle w:val="ListBullet"/>
      </w:pPr>
      <w:r>
        <w:t>Are Nula-derived fallbacks distinguished from official coefficients and governed for age/re-derivation?</w:t>
      </w:r>
    </w:p>
    <w:p>
      <w:pPr>
        <w:pStyle w:val="ListBullet"/>
      </w:pPr>
      <w:r>
        <w:t>Does CPI adjust monetary basis only?</w:t>
      </w:r>
    </w:p>
    <w:p>
      <w:pPr>
        <w:pStyle w:val="ListBullet"/>
      </w:pPr>
      <w:r>
        <w:t>Is electricity terminology clear about grid/location versus contractual basis?</w:t>
      </w:r>
    </w:p>
    <w:p>
      <w:pPr>
        <w:pStyle w:val="ListBullet"/>
      </w:pPr>
      <w:r>
        <w:t>Is aviation non-CO₂ treatment disclosed with no double uplift?</w:t>
      </w:r>
    </w:p>
    <w:p>
      <w:pPr>
        <w:pStyle w:val="ListBullet"/>
      </w:pPr>
      <w:r>
        <w:t>Are RIVM/product data used within comparative-assertion limitations?</w:t>
      </w:r>
    </w:p>
    <w:p>
      <w:pPr>
        <w:pStyle w:val="ListBullet"/>
      </w:pPr>
      <w:r>
        <w:t>Are quantitative uncertainty and categorical confidence distinct?</w:t>
      </w:r>
    </w:p>
    <w:p>
      <w:pPr>
        <w:pStyle w:val="ListBullet"/>
      </w:pPr>
      <w:r>
        <w:t>Has user-facing confidence been calibrated on representative transactions?</w:t>
      </w:r>
    </w:p>
    <w:p>
      <w:pPr>
        <w:pStyle w:val="ListBullet"/>
      </w:pPr>
      <w:r>
        <w:t>Can exact historical factor versions be retrieved for sampled transactions?</w:t>
      </w:r>
    </w:p>
    <w:p>
      <w:pPr>
        <w:pStyle w:val="ListBullet"/>
      </w:pPr>
      <w:r>
        <w:t>Do total and category plausibility checks detect anomalies without forcing averages?</w:t>
      </w:r>
    </w:p>
    <w:p>
      <w:pPr>
        <w:pStyle w:val="ListBullet"/>
      </w:pPr>
      <w:r>
        <w:t>Have selected cases been externally benchmarked with boundary-aware reconciliation?</w:t>
      </w:r>
    </w:p>
    <w:p>
      <w:pPr>
        <w:pStyle w:val="ListBullet"/>
      </w:pPr>
      <w:r>
        <w:t>Are user-facing claims appropriately qualified?</w:t>
      </w:r>
    </w:p>
    <w:p>
      <w:pPr>
        <w:pStyle w:val="ListBullet"/>
      </w:pPr>
      <w:r>
        <w:t>Are reviewer independence, competence, scope, findings, severity, response and closure documented?</w:t>
      </w:r>
    </w:p>
    <w:p>
      <w:pPr>
        <w:pStyle w:val="ListBullet"/>
      </w:pPr>
      <w:r>
        <w:t>What remains before any independent validation, assurance or certification claim?</w:t>
      </w:r>
    </w:p>
    <w:p>
      <w:pPr>
        <w:pStyle w:val="Heading1"/>
      </w:pPr>
      <w:r>
        <w:t>19. Evidence Pack Required for Formal Review</w:t>
      </w:r>
    </w:p>
    <w:p>
      <w:pPr>
        <w:pStyle w:val="ListBullet"/>
      </w:pPr>
      <w:r>
        <w:t>Methodology Statement version under review.</w:t>
      </w:r>
    </w:p>
    <w:p>
      <w:pPr>
        <w:pStyle w:val="ListBullet"/>
      </w:pPr>
      <w:r>
        <w:t>Carbon Factor Master Library version under review.</w:t>
      </w:r>
    </w:p>
    <w:p>
      <w:pPr>
        <w:pStyle w:val="ListBullet"/>
      </w:pPr>
      <w:r>
        <w:t>This Annex A version and machine-readable test results.</w:t>
      </w:r>
    </w:p>
    <w:p>
      <w:pPr>
        <w:pStyle w:val="ListBullet"/>
      </w:pPr>
      <w:r>
        <w:t>Factor provenance/source snapshots or stable source references.</w:t>
      </w:r>
    </w:p>
    <w:p>
      <w:pPr>
        <w:pStyle w:val="ListBullet"/>
      </w:pPr>
      <w:r>
        <w:t>Representative transaction calibration report and grade-distribution results.</w:t>
      </w:r>
    </w:p>
    <w:p>
      <w:pPr>
        <w:pStyle w:val="ListBullet"/>
      </w:pPr>
      <w:r>
        <w:t>External benchmarking worksheet and reconciliation notes.</w:t>
      </w:r>
    </w:p>
    <w:p>
      <w:pPr>
        <w:pStyle w:val="ListBullet"/>
      </w:pPr>
      <w:r>
        <w:t>Change log and factor-version lineage.</w:t>
      </w:r>
    </w:p>
    <w:p>
      <w:pPr>
        <w:pStyle w:val="ListBullet"/>
      </w:pPr>
      <w:r>
        <w:t>Security/RLS test evidence.</w:t>
      </w:r>
    </w:p>
    <w:p>
      <w:pPr>
        <w:pStyle w:val="ListBullet"/>
      </w:pPr>
      <w:r>
        <w:t>Known limitations and unresolved findings register.</w:t>
      </w:r>
    </w:p>
    <w:p>
      <w:pPr>
        <w:pStyle w:val="ListBullet"/>
      </w:pPr>
      <w:r>
        <w:t>Reviewer competence statement, independence declaration, scope, findings and closure record.</w:t>
      </w:r>
    </w:p>
    <w:p>
      <w:pPr>
        <w:pStyle w:val="Heading1"/>
      </w:pPr>
      <w:r>
        <w:t>20. Revision Note — v1.1</w:t>
      </w:r>
    </w:p>
    <w:p>
      <w:r>
        <w:t>Version 1.1 expands the original 20-case pack into a broader validation protocol aligned with Methodology Statement v1.1 and Carbon Factor Master Library v1.1. It adds mixed-method aggregation and anti-double-counting cases; stale-factor/re-derivation tests; electricity accounting-basis tests; aviation non-CO₂ controls; product comparative-claim restrictions; uncertainty and confidence calibration; historical-factor audit retrieval; category-level sanity checks; and external benchmarking/backtesting. Scientific status remains unchanged: draft for independent review, not independent assurance or certification.</w:t>
      </w:r>
    </w:p>
    <w:p>
      <w:pPr>
        <w:pStyle w:val="Heading1"/>
      </w:pPr>
      <w:r>
        <w:t>References</w:t>
      </w:r>
    </w:p>
    <w:p>
      <w:r>
        <w:t>[1] Nula, Carbon Calculation Methodology Statement v1.1, 23 August 2026.</w:t>
      </w:r>
    </w:p>
    <w:p>
      <w:r>
        <w:t>[2] Nula, Carbon Factor Master Library v1.1, 23 August 2026.</w:t>
      </w:r>
    </w:p>
    <w:p>
      <w:r>
        <w:t>[3] CBS (2026), Verschillen in de broeikasgasvoetafdruk van Nederlandse huishoudens.</w:t>
      </w:r>
    </w:p>
    <w:p>
      <w:r>
        <w:t>[4] CO₂-emissiefactoren.nl, Benzine E10 2026.</w:t>
      </w:r>
    </w:p>
    <w:p>
      <w:r>
        <w:t>[5] CO₂-emissiefactoren.nl, Diesel B7 2026.</w:t>
      </w:r>
    </w:p>
    <w:p>
      <w:r>
        <w:t>[6] CO₂-emissiefactoren.nl, Personenvervoer 2026.</w:t>
      </w:r>
    </w:p>
    <w:p>
      <w:r>
        <w:t>[7] CO₂-emissiefactoren.nl, European flight 700–2,500 km, 2026.</w:t>
      </w:r>
    </w:p>
    <w:p>
      <w:r>
        <w:t>[8] CO₂-emissiefactoren.nl, Electricity 2026 / unknown-source grid mix.</w:t>
      </w:r>
    </w:p>
    <w:p>
      <w:r>
        <w:t>[9] CO₂-emissiefactoren.nl, Energy-generation fuels 2026 / natural gas G-gas.</w:t>
      </w:r>
    </w:p>
    <w:p>
      <w:r>
        <w:t>[10] CBS (2026), Consumer Price Index from 2026 / ECOICOPv2.</w:t>
      </w:r>
    </w:p>
    <w:p>
      <w:r>
        <w:t>[11] RIVM, Database Milieubelasting Voedingsmiddelen 2024.</w:t>
      </w:r>
    </w:p>
    <w:p>
      <w:r>
        <w:t>[12] GHG Protocol, Scope 2 Guidance and Scope 2 Frequently Asked Questions.</w:t>
      </w:r>
    </w:p>
    <w:p>
      <w:r>
        <w:t>[13] GHG Protocol, Scope 3 Calculation Guidance.</w:t>
      </w:r>
    </w:p>
    <w:p>
      <w:r>
        <w:t>[14] CO₂-emissiefactoren.nl, downloads and change history.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C3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E6B5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E6B5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C3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b w:val="0"/>
      <w:i/>
      <w:iCs/>
      <w:color w:val="5F6B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bs.nl/nl-nl/longread/rapportages/2026/verschillen-in-de-broeikasgasvoetafdruk-van-nederlandse-huishoudens?onepage=true" TargetMode="External"/><Relationship Id="rId10" Type="http://schemas.openxmlformats.org/officeDocument/2006/relationships/hyperlink" Target="https://co2emissiefactoren.nl/factoren/2026/30/66/brandstoffen-voertuigen-en-schepen-fossiele-brandstoffen-met-bio-bijmenging-benzine-e10/" TargetMode="External"/><Relationship Id="rId11" Type="http://schemas.openxmlformats.org/officeDocument/2006/relationships/hyperlink" Target="https://co2emissiefactoren.nl/factoren/2026/30/67/brandstoffen-voertuigen-en-schepen-fossiele-brandstoffen-met-bio-bijmenging-diesel-b7/" TargetMode="External"/><Relationship Id="rId12" Type="http://schemas.openxmlformats.org/officeDocument/2006/relationships/hyperlink" Target="https://co2emissiefactoren.nl/factoren/2026/13/personenvervoer/" TargetMode="External"/><Relationship Id="rId13" Type="http://schemas.openxmlformats.org/officeDocument/2006/relationships/hyperlink" Target="https://co2emissiefactoren.nl/factoren/2026/53/196/personenvervoer-openbaar-vervoer-trein-elektrisch/" TargetMode="External"/><Relationship Id="rId14" Type="http://schemas.openxmlformats.org/officeDocument/2006/relationships/hyperlink" Target="https://co2emissiefactoren.nl/factoren/2026/51/189/personenvervoer-vliegtuig-europees-700-2500-km/" TargetMode="External"/><Relationship Id="rId15" Type="http://schemas.openxmlformats.org/officeDocument/2006/relationships/hyperlink" Target="https://co2emissiefactoren.nl/factoren/2026/11/elektriciteit/?unit=kwh" TargetMode="External"/><Relationship Id="rId16" Type="http://schemas.openxmlformats.org/officeDocument/2006/relationships/hyperlink" Target="https://co2emissiefactoren.nl/factoren/2026/10/brandstoffen-energieopwekking/" TargetMode="External"/><Relationship Id="rId17" Type="http://schemas.openxmlformats.org/officeDocument/2006/relationships/hyperlink" Target="https://www.cbs.nl/nl-nl/cijfers/detail/83676NED" TargetMode="External"/><Relationship Id="rId18" Type="http://schemas.openxmlformats.org/officeDocument/2006/relationships/hyperlink" Target="https://www.cbs.nl/en-gb/longread/rapportages/2026/consumer-price-index-from-2026?onepage=true" TargetMode="External"/><Relationship Id="rId19" Type="http://schemas.openxmlformats.org/officeDocument/2006/relationships/hyperlink" Target="https://www.rivm.nl/en/food-and-nutrition/sustainable-food/environmental-impact-of-food-products" TargetMode="External"/><Relationship Id="rId20" Type="http://schemas.openxmlformats.org/officeDocument/2006/relationships/hyperlink" Target="https://ghgprotocol.org/scope-3-calculation-guidance-2" TargetMode="External"/><Relationship Id="rId21" Type="http://schemas.openxmlformats.org/officeDocument/2006/relationships/hyperlink" Target="https://ghgprotocol.org/scope-3-frequently-asked-questions-0" TargetMode="External"/><Relationship Id="rId22" Type="http://schemas.openxmlformats.org/officeDocument/2006/relationships/hyperlink" Target="https://co2emissiefactoren.nl/downloa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